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DEAJGCC24-313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FELIPE ANDRES RUIZ AGUIRRE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DEAJGCC24-313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FELIPE ANDRES RUIZ AGUIRRE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DEAJGCC24-313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11001079000020090004200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FELIPE ANDRES RUIZ AGUIRRE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