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900.153.924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28.425.481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-102.693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871.625.750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1.147.063.867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13.031.129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5.581.234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-12.126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1.154.501.637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2.081.311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2.078.355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907.127.211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907.243.797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821.739.595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3.055.905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-26.022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818.657.668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457.047.313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7.364.153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353.100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464.059.238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422.164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18.381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403.558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1.126.970.997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1.427.206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1.125.543.791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703.379.102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20.978.716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167.434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724.190.385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1.426.622.891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1.064.143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1.427.687.034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5.158.858.274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41.373.998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39.031.697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-140.194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5.161.060.381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2.825.108.172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40.193.269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39.031.697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-140.194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2.826.129.550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JANIS MOLINA RIOS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