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ED3D" w14:textId="77777777" w:rsidR="004C3255" w:rsidRDefault="004C3255" w:rsidP="004C325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</w:p>
    <w:p w14:paraId="7DAD071C" w14:textId="77777777" w:rsidR="004C3255" w:rsidRPr="0048576A" w:rsidRDefault="004C3255" w:rsidP="004C325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48576A">
        <w:rPr>
          <w:rFonts w:ascii="Arial" w:hAnsi="Arial" w:cs="Arial"/>
          <w:b/>
          <w:bCs/>
          <w:sz w:val="22"/>
          <w:szCs w:val="22"/>
        </w:rPr>
        <w:t xml:space="preserve">RESOLUCIÓN </w:t>
      </w:r>
      <w:proofErr w:type="spellStart"/>
      <w:r w:rsidRPr="0048576A">
        <w:rPr>
          <w:rFonts w:ascii="Arial" w:hAnsi="Arial" w:cs="Arial"/>
          <w:b/>
          <w:bCs/>
          <w:sz w:val="22"/>
          <w:szCs w:val="22"/>
        </w:rPr>
        <w:t>N°</w:t>
      </w:r>
      <w:proofErr w:type="spellEnd"/>
      <w:r w:rsidRPr="0048576A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8576A"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>MERGEFIELD</w:instrText>
      </w:r>
      <w:r w:rsidRPr="0048576A">
        <w:rPr>
          <w:rFonts w:ascii="Arial" w:hAnsi="Arial" w:cs="Arial"/>
          <w:b/>
          <w:sz w:val="22"/>
          <w:szCs w:val="22"/>
        </w:rPr>
        <w:instrText xml:space="preserve">  Sigobius </w:instrText>
      </w:r>
      <w:r w:rsidRPr="0048576A">
        <w:rPr>
          <w:rFonts w:ascii="Arial" w:hAnsi="Arial" w:cs="Arial"/>
          <w:b/>
          <w:sz w:val="22"/>
          <w:szCs w:val="22"/>
        </w:rPr>
        <w:fldChar w:fldCharType="separate"/>
      </w:r>
      <w:bookmarkStart w:id="1" w:name="_Hlk19545644"/>
      <w:r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343855">
        <w:rPr>
          <w:rFonts w:ascii="Arial" w:hAnsi="Arial" w:cs="Arial"/>
          <w:sz w:val="22"/>
          <w:szCs w:val="22"/>
        </w:rPr>
        <w:t>DEAJGCC20-2161</w:t>
      </w:r>
      <w:r w:rsidRPr="0048576A">
        <w:rPr>
          <w:rFonts w:ascii="Arial" w:hAnsi="Arial" w:cs="Arial"/>
          <w:sz w:val="22"/>
          <w:szCs w:val="22"/>
        </w:rPr>
        <w:t xml:space="preserve"> </w:t>
      </w:r>
      <w:bookmarkEnd w:id="1"/>
      <w:r w:rsidRPr="0048576A">
        <w:rPr>
          <w:rFonts w:ascii="Arial" w:hAnsi="Arial" w:cs="Arial"/>
          <w:b/>
          <w:sz w:val="22"/>
          <w:szCs w:val="22"/>
        </w:rPr>
        <w:fldChar w:fldCharType="end"/>
      </w:r>
      <w:r w:rsidRPr="0048576A">
        <w:rPr>
          <w:rFonts w:ascii="Arial" w:hAnsi="Arial" w:cs="Arial"/>
          <w:sz w:val="22"/>
          <w:szCs w:val="22"/>
        </w:rPr>
        <w:t xml:space="preserve"> </w:t>
      </w:r>
      <w:r w:rsidRPr="009A2EC5">
        <w:rPr>
          <w:rFonts w:ascii="Arial" w:hAnsi="Arial" w:cs="Arial"/>
          <w:sz w:val="22"/>
          <w:szCs w:val="22"/>
        </w:rPr>
        <w:t xml:space="preserve">de fecha 24 de </w:t>
      </w:r>
      <w:proofErr w:type="gramStart"/>
      <w:r w:rsidRPr="009A2EC5">
        <w:rPr>
          <w:rFonts w:ascii="Arial" w:hAnsi="Arial" w:cs="Arial"/>
          <w:sz w:val="22"/>
          <w:szCs w:val="22"/>
        </w:rPr>
        <w:t>Marzo</w:t>
      </w:r>
      <w:proofErr w:type="gramEnd"/>
      <w:r w:rsidRPr="009A2EC5">
        <w:rPr>
          <w:rFonts w:ascii="Arial" w:hAnsi="Arial" w:cs="Arial"/>
          <w:sz w:val="22"/>
          <w:szCs w:val="22"/>
        </w:rPr>
        <w:t xml:space="preserve"> de 2020</w:t>
      </w:r>
    </w:p>
    <w:p w14:paraId="71F6C816" w14:textId="77777777" w:rsidR="004C3255" w:rsidRPr="00C04726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366EB35" w14:textId="77777777" w:rsidR="004C3255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bCs/>
          <w:i/>
          <w:color w:val="000000"/>
          <w:lang w:eastAsia="es-CO"/>
        </w:rPr>
      </w:pPr>
      <w:r w:rsidRPr="00C04726">
        <w:rPr>
          <w:rFonts w:ascii="Arial" w:eastAsia="Times New Roman" w:hAnsi="Arial" w:cs="Arial"/>
          <w:i/>
          <w:color w:val="000000"/>
          <w:bdr w:val="none" w:sz="0" w:space="0" w:color="auto" w:frame="1"/>
          <w:lang w:eastAsia="es-CO"/>
        </w:rPr>
        <w:t>“Por medio de la cual se ordena la suspensión de términos procesales en las actuaciones administrativas del proceso de cobro coactivo, conforme a lo dispuesto por el Consejo Superior de la Judicatura</w:t>
      </w:r>
      <w:r w:rsidRPr="00C04726">
        <w:rPr>
          <w:rFonts w:ascii="Arial" w:eastAsia="Times New Roman" w:hAnsi="Arial" w:cs="Arial"/>
          <w:bCs/>
          <w:i/>
          <w:color w:val="000000"/>
          <w:lang w:eastAsia="es-CO"/>
        </w:rPr>
        <w:t>”</w:t>
      </w:r>
    </w:p>
    <w:p w14:paraId="3E5A036E" w14:textId="77777777" w:rsidR="004C3255" w:rsidRPr="00C04726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bCs/>
          <w:i/>
          <w:color w:val="000000"/>
          <w:lang w:eastAsia="es-CO"/>
        </w:rPr>
      </w:pPr>
    </w:p>
    <w:p w14:paraId="1E426F20" w14:textId="77777777" w:rsidR="004C3255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5ADE222" w14:textId="77777777" w:rsidR="004C3255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>EL ABOGADO EJECUTOR DE LA DIRECCIÓN EJECUTIVA DE ADMINISTRACIÓN JUDICIAL</w:t>
      </w:r>
    </w:p>
    <w:p w14:paraId="2AC92571" w14:textId="77777777" w:rsidR="004C3255" w:rsidRPr="00C04726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01AE39E5" w14:textId="77777777" w:rsidR="004C3255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 w:rsidRPr="00C0472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En ejercicio del poder otorgado por el </w:t>
      </w:r>
      <w:proofErr w:type="gramStart"/>
      <w:r w:rsidRPr="00C0472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Director Ejecutivo</w:t>
      </w:r>
      <w:proofErr w:type="gramEnd"/>
      <w:r w:rsidRPr="00C0472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de Administración Judicial y en uso de sus facultades legales y reglamentarias, especialmente las conferidas en los Acuerdos PSAA07-3927 del 15 de febrero de 2007 y PSAA10-6979 de 2010 emanados del Consejo Superior de la Judicatura y el artículo 20 del Decreto 272 de 2015 reglamentario de la Ley 1743 de 2014 y,</w:t>
      </w:r>
    </w:p>
    <w:p w14:paraId="13EFB181" w14:textId="77777777" w:rsidR="004C3255" w:rsidRPr="00C04726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</w:p>
    <w:p w14:paraId="6D7954E4" w14:textId="77777777" w:rsidR="004C3255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62BA940E" w14:textId="77777777" w:rsidR="004C3255" w:rsidRPr="00C04726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ACEC636" w14:textId="77777777" w:rsidR="004C3255" w:rsidRDefault="004C3255" w:rsidP="004C3255">
      <w:pPr>
        <w:spacing w:after="0"/>
        <w:jc w:val="both"/>
        <w:rPr>
          <w:rFonts w:ascii="Arial" w:hAnsi="Arial" w:cs="Arial"/>
          <w:lang w:eastAsia="es-ES"/>
        </w:rPr>
      </w:pPr>
      <w:r w:rsidRPr="00C04726">
        <w:rPr>
          <w:rFonts w:ascii="Arial" w:hAnsi="Arial" w:cs="Arial"/>
          <w:lang w:eastAsia="es-ES"/>
        </w:rPr>
        <w:t>Que el Ministerio de Salud y Protección Social mediante el Decreto 385 del 12 de marzo de 2020 declaró la emergencia sanitaria en todo el territorio nacional.</w:t>
      </w:r>
    </w:p>
    <w:p w14:paraId="5996D963" w14:textId="77777777" w:rsidR="004C3255" w:rsidRPr="00C04726" w:rsidRDefault="004C3255" w:rsidP="004C3255">
      <w:pPr>
        <w:spacing w:after="0"/>
        <w:jc w:val="both"/>
        <w:rPr>
          <w:rFonts w:ascii="Arial" w:hAnsi="Arial" w:cs="Arial"/>
          <w:lang w:eastAsia="es-ES"/>
        </w:rPr>
      </w:pPr>
    </w:p>
    <w:p w14:paraId="0B1E87A8" w14:textId="77777777" w:rsidR="004C3255" w:rsidRDefault="004C3255" w:rsidP="004C3255">
      <w:pPr>
        <w:spacing w:after="0"/>
        <w:jc w:val="both"/>
        <w:rPr>
          <w:rFonts w:ascii="Arial" w:hAnsi="Arial" w:cs="Arial"/>
          <w:lang w:eastAsia="es-ES"/>
        </w:rPr>
      </w:pPr>
      <w:r w:rsidRPr="00C04726">
        <w:rPr>
          <w:rFonts w:ascii="Arial" w:hAnsi="Arial" w:cs="Arial"/>
          <w:lang w:eastAsia="es-ES"/>
        </w:rPr>
        <w:t xml:space="preserve">Que en ejercicio de las facultades constitucionales consagradas en el artículo 215 de Constitución Política, el </w:t>
      </w:r>
      <w:proofErr w:type="gramStart"/>
      <w:r w:rsidRPr="00C04726">
        <w:rPr>
          <w:rFonts w:ascii="Arial" w:hAnsi="Arial" w:cs="Arial"/>
          <w:lang w:eastAsia="es-ES"/>
        </w:rPr>
        <w:t>Presidente</w:t>
      </w:r>
      <w:proofErr w:type="gramEnd"/>
      <w:r w:rsidRPr="00C04726">
        <w:rPr>
          <w:rFonts w:ascii="Arial" w:hAnsi="Arial" w:cs="Arial"/>
          <w:lang w:eastAsia="es-ES"/>
        </w:rPr>
        <w:t xml:space="preserve"> de la República mediante el Decreto 417 de 17 de marzo de 2020 declaró un Estado de Emergencia Económica, Social y Ecológica en el territorio nacional.</w:t>
      </w:r>
    </w:p>
    <w:p w14:paraId="2D46DF98" w14:textId="77777777" w:rsidR="004C3255" w:rsidRPr="00C04726" w:rsidRDefault="004C3255" w:rsidP="004C3255">
      <w:pPr>
        <w:spacing w:after="0"/>
        <w:jc w:val="both"/>
        <w:rPr>
          <w:rFonts w:ascii="Arial" w:hAnsi="Arial" w:cs="Arial"/>
          <w:lang w:eastAsia="es-ES"/>
        </w:rPr>
      </w:pPr>
    </w:p>
    <w:p w14:paraId="12FCA077" w14:textId="77777777" w:rsidR="004C3255" w:rsidRDefault="004C3255" w:rsidP="004C3255">
      <w:pPr>
        <w:spacing w:after="0"/>
        <w:jc w:val="both"/>
        <w:rPr>
          <w:rFonts w:ascii="Arial" w:hAnsi="Arial" w:cs="Arial"/>
          <w:lang w:eastAsia="es-ES"/>
        </w:rPr>
      </w:pPr>
      <w:r w:rsidRPr="00C04726">
        <w:rPr>
          <w:rFonts w:ascii="Arial" w:hAnsi="Arial" w:cs="Arial"/>
          <w:lang w:eastAsia="es-ES"/>
        </w:rPr>
        <w:t>Que el Consejo Superior de la Judicatura mediante Acuerdo PCSJA20-11528 del 22 de marzo de 2020 suspendió los términos de las actuaciones administrativas a cargo de la Dirección Ejecutiva de Administración Judicial y sus Direcciones Seccionales, entre otros, en los procesos administrativos de cobro coactivo, durante el período comprendido entre el 24 de marzo hasta el 12 de abril de 2020</w:t>
      </w:r>
      <w:r>
        <w:rPr>
          <w:rFonts w:ascii="Arial" w:hAnsi="Arial" w:cs="Arial"/>
          <w:lang w:eastAsia="es-ES"/>
        </w:rPr>
        <w:t xml:space="preserve"> o </w:t>
      </w:r>
      <w:r w:rsidRPr="000316C6">
        <w:rPr>
          <w:rFonts w:ascii="Arial" w:hAnsi="Arial" w:cs="Arial"/>
          <w:lang w:eastAsia="es-ES"/>
        </w:rPr>
        <w:t>hasta cuando el Consejo Sup</w:t>
      </w:r>
      <w:r>
        <w:rPr>
          <w:rFonts w:ascii="Arial" w:hAnsi="Arial" w:cs="Arial"/>
          <w:lang w:eastAsia="es-ES"/>
        </w:rPr>
        <w:t>erior de la Judicatura disponga.</w:t>
      </w:r>
    </w:p>
    <w:p w14:paraId="00A4AB55" w14:textId="77777777" w:rsidR="004C3255" w:rsidRPr="00C04726" w:rsidRDefault="004C3255" w:rsidP="004C3255">
      <w:pPr>
        <w:spacing w:after="0"/>
        <w:jc w:val="both"/>
        <w:rPr>
          <w:rFonts w:ascii="Arial" w:hAnsi="Arial" w:cs="Arial"/>
          <w:lang w:eastAsia="es-ES"/>
        </w:rPr>
      </w:pPr>
    </w:p>
    <w:p w14:paraId="484D94E6" w14:textId="77777777" w:rsidR="004C3255" w:rsidRPr="00C04726" w:rsidRDefault="004C3255" w:rsidP="004C32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0472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Que, en mérito de lo expuesto, </w:t>
      </w:r>
      <w:bookmarkStart w:id="2" w:name="_Hlk34126049"/>
      <w:r w:rsidRPr="00C0472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04726">
        <w:rPr>
          <w:rFonts w:ascii="Arial" w:hAnsi="Arial" w:cs="Arial"/>
          <w:color w:val="000000"/>
          <w:sz w:val="22"/>
          <w:szCs w:val="22"/>
        </w:rPr>
        <w:instrText xml:space="preserve"> </w:instrText>
      </w:r>
      <w:r>
        <w:rPr>
          <w:rFonts w:ascii="Arial" w:hAnsi="Arial" w:cs="Arial"/>
          <w:color w:val="000000"/>
          <w:sz w:val="22"/>
          <w:szCs w:val="22"/>
        </w:rPr>
        <w:instrText>MERGEFIELD</w:instrText>
      </w:r>
      <w:r w:rsidRPr="00C04726">
        <w:rPr>
          <w:rFonts w:ascii="Arial" w:hAnsi="Arial" w:cs="Arial"/>
          <w:color w:val="000000"/>
          <w:sz w:val="22"/>
          <w:szCs w:val="22"/>
        </w:rPr>
        <w:instrText xml:space="preserve">  ElAbogadoEjecutor </w:instrText>
      </w:r>
      <w:r w:rsidRPr="00C04726"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t>e</w:t>
      </w:r>
      <w:r w:rsidRPr="00C04726">
        <w:rPr>
          <w:rFonts w:ascii="Arial" w:hAnsi="Arial" w:cs="Arial"/>
          <w:noProof/>
          <w:color w:val="000000"/>
          <w:sz w:val="22"/>
          <w:szCs w:val="22"/>
        </w:rPr>
        <w:t>l</w:t>
      </w:r>
      <w:r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Pr="00C04726">
        <w:rPr>
          <w:rFonts w:ascii="Arial" w:hAnsi="Arial" w:cs="Arial"/>
          <w:noProof/>
          <w:color w:val="000000"/>
          <w:sz w:val="22"/>
          <w:szCs w:val="22"/>
        </w:rPr>
        <w:t>Abogado</w:t>
      </w:r>
      <w:r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Pr="00C04726">
        <w:rPr>
          <w:rFonts w:ascii="Arial" w:hAnsi="Arial" w:cs="Arial"/>
          <w:noProof/>
          <w:color w:val="000000"/>
          <w:sz w:val="22"/>
          <w:szCs w:val="22"/>
        </w:rPr>
        <w:t>Ejecutor</w:t>
      </w:r>
      <w:r w:rsidRPr="00C04726">
        <w:rPr>
          <w:rFonts w:ascii="Arial" w:hAnsi="Arial" w:cs="Arial"/>
          <w:color w:val="000000"/>
          <w:sz w:val="22"/>
          <w:szCs w:val="22"/>
        </w:rPr>
        <w:fldChar w:fldCharType="end"/>
      </w:r>
      <w:bookmarkEnd w:id="2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0472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 la Dirección Ejecutiva de Administración Judicial,</w:t>
      </w:r>
    </w:p>
    <w:p w14:paraId="63561E29" w14:textId="77777777" w:rsidR="004C3255" w:rsidRPr="00C04726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9CFF1B1" w14:textId="77777777" w:rsidR="004C3255" w:rsidRPr="00C04726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39781B99" w14:textId="77777777" w:rsidR="004C3255" w:rsidRPr="00C04726" w:rsidRDefault="004C3255" w:rsidP="004C325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4FC77FA4" w14:textId="77777777" w:rsidR="004C3255" w:rsidRPr="00C04726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>PRIMERO.-</w:t>
      </w:r>
      <w:proofErr w:type="gramEnd"/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04726">
        <w:rPr>
          <w:rFonts w:ascii="Arial" w:eastAsia="Times New Roman" w:hAnsi="Arial" w:cs="Arial"/>
          <w:bCs/>
          <w:color w:val="000000"/>
          <w:lang w:eastAsia="es-CO"/>
        </w:rPr>
        <w:t>Suspender los términos procesales de las actuac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iones </w:t>
      </w:r>
      <w:r w:rsidRPr="00C04726">
        <w:rPr>
          <w:rFonts w:ascii="Arial" w:eastAsia="Times New Roman" w:hAnsi="Arial" w:cs="Arial"/>
          <w:bCs/>
          <w:color w:val="000000"/>
          <w:lang w:eastAsia="es-CO"/>
        </w:rPr>
        <w:t>que cursan dentro de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 los procesos activos de cobro coactivo, a cargo de la Dirección Ejecutiva de Administración Judicial o de las Direcciones Seccionales conforme a la competencia asignada en los Acuerdos </w:t>
      </w:r>
      <w:r w:rsidRPr="001E6CE2">
        <w:rPr>
          <w:rFonts w:ascii="Arial" w:hAnsi="Arial" w:cs="Arial"/>
          <w:color w:val="000000"/>
        </w:rPr>
        <w:t>PSAA07-3907 del 15 de febrero de 2007 y PSAA10-6979 de 2010 del Consejo Superior de la Judicatura</w:t>
      </w:r>
      <w:r>
        <w:rPr>
          <w:rFonts w:ascii="Arial" w:hAnsi="Arial" w:cs="Arial"/>
          <w:color w:val="000000"/>
        </w:rPr>
        <w:t>.</w:t>
      </w:r>
      <w:r w:rsidRPr="00C04726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378A639" w14:textId="77777777" w:rsidR="004C3255" w:rsidRPr="00C04726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68DA4E9" w14:textId="77777777" w:rsidR="004C3255" w:rsidRPr="00C04726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>SEGUNDO.-</w:t>
      </w:r>
      <w:proofErr w:type="gramEnd"/>
      <w:r w:rsidRPr="00C0472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Comunicar e</w:t>
      </w:r>
      <w:r w:rsidRPr="00C04726">
        <w:rPr>
          <w:rFonts w:ascii="Arial" w:eastAsia="Times New Roman" w:hAnsi="Arial" w:cs="Arial"/>
          <w:color w:val="000000"/>
          <w:lang w:eastAsia="es-CO"/>
        </w:rPr>
        <w:t xml:space="preserve">l presente acto administrativo </w:t>
      </w:r>
      <w:r w:rsidRPr="00C0472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a los interesados en la página web de la Rama Judicial.</w:t>
      </w:r>
    </w:p>
    <w:p w14:paraId="72FC4E11" w14:textId="77777777" w:rsidR="004C3255" w:rsidRPr="00C04726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44BD0B2" w14:textId="77777777" w:rsidR="004C3255" w:rsidRPr="00C04726" w:rsidRDefault="004C3255" w:rsidP="004C3255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C04726">
        <w:rPr>
          <w:rFonts w:ascii="Arial" w:eastAsia="Times New Roman" w:hAnsi="Arial" w:cs="Arial"/>
          <w:b/>
          <w:bCs/>
          <w:color w:val="000000"/>
          <w:lang w:eastAsia="es-CO"/>
        </w:rPr>
        <w:t>ARTÍCULO TERCERO</w:t>
      </w:r>
      <w:r w:rsidRPr="00C04726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. -La presente resolución rige a partir de la fecha de su expedición.</w:t>
      </w:r>
    </w:p>
    <w:p w14:paraId="7B921381" w14:textId="77777777" w:rsidR="004C3255" w:rsidRPr="00C04726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E0329B6" w14:textId="77777777" w:rsidR="004C3255" w:rsidRPr="00C04726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A63E9AF" w14:textId="77777777" w:rsidR="004C3255" w:rsidRPr="004F1A6E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</w:pPr>
      <w:r w:rsidRPr="004F1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t>COMUNÍQUESE y CÚMPLASE,</w:t>
      </w:r>
    </w:p>
    <w:p w14:paraId="7608ABBF" w14:textId="77777777" w:rsidR="004C3255" w:rsidRPr="00C04726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45B1C209" w14:textId="77777777" w:rsidR="004C3255" w:rsidRPr="00C04726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4F6DB2A7" w14:textId="16DB55B2" w:rsidR="004C3255" w:rsidRDefault="004C3255" w:rsidP="004C3255">
      <w:pPr>
        <w:spacing w:after="0" w:line="240" w:lineRule="auto"/>
        <w:jc w:val="center"/>
        <w:textAlignment w:val="top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16AE78" wp14:editId="45F30388">
            <wp:extent cx="2238375" cy="695325"/>
            <wp:effectExtent l="0" t="0" r="9525" b="9525"/>
            <wp:docPr id="936725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9346" w14:textId="77777777" w:rsidR="004C3255" w:rsidRPr="001B5383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</w:pPr>
      <w:r w:rsidRPr="001B538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t xml:space="preserve">Lina </w:t>
      </w:r>
      <w:proofErr w:type="spellStart"/>
      <w:r w:rsidRPr="001B538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t>Yalile</w:t>
      </w:r>
      <w:proofErr w:type="spellEnd"/>
      <w:r w:rsidRPr="001B538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t xml:space="preserve"> Giraldo Sánchez</w:t>
      </w:r>
    </w:p>
    <w:p w14:paraId="3FFDBFC5" w14:textId="77777777" w:rsidR="004C3255" w:rsidRPr="001B5383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 w:rsidRPr="001B5383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Directora Administrativa División de Fondos Especiales y Cobro Coactivo</w:t>
      </w:r>
    </w:p>
    <w:p w14:paraId="04B2AC28" w14:textId="77777777" w:rsidR="004C3255" w:rsidRPr="001B5383" w:rsidRDefault="004C3255" w:rsidP="004C325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 w:rsidRPr="001B5383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Dirección Ejecutiva de Administración Judicial</w:t>
      </w:r>
    </w:p>
    <w:p w14:paraId="558327DD" w14:textId="77777777" w:rsidR="004C3255" w:rsidRPr="00C04726" w:rsidRDefault="004C3255" w:rsidP="004C325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</w:p>
    <w:p w14:paraId="239D1F01" w14:textId="77777777" w:rsidR="004C3255" w:rsidRDefault="004C3255" w:rsidP="004C325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</w:p>
    <w:p w14:paraId="5DBB3B69" w14:textId="77777777" w:rsidR="004C3255" w:rsidRPr="00EA59AF" w:rsidRDefault="004C3255" w:rsidP="004C3255">
      <w:pPr>
        <w:spacing w:after="0" w:line="240" w:lineRule="auto"/>
        <w:textAlignment w:val="top"/>
        <w:rPr>
          <w:rFonts w:ascii="Arial" w:hAnsi="Arial" w:cs="Arial"/>
          <w:color w:val="FFFFFF"/>
        </w:rPr>
      </w:pPr>
      <w:r w:rsidRPr="001B538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CO"/>
        </w:rPr>
        <w:t>Elaboró:</w:t>
      </w:r>
      <w:r w:rsidRPr="001B5383">
        <w:rPr>
          <w:rFonts w:cs="Calibri"/>
          <w:color w:val="000000"/>
          <w:sz w:val="18"/>
          <w:szCs w:val="18"/>
          <w:shd w:val="clear" w:color="auto" w:fill="FFFFFF"/>
        </w:rPr>
        <w:t xml:space="preserve"> Claudia Alexandra Briceño Mejía</w:t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t xml:space="preserve"> </w:t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fldChar w:fldCharType="begin"/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instrText xml:space="preserve">MERGEFIELD usuario </w:instrText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FFFFFF"/>
          <w:bdr w:val="none" w:sz="0" w:space="0" w:color="auto" w:frame="1"/>
          <w:lang w:eastAsia="es-CO"/>
        </w:rPr>
        <w:t>${</w:t>
      </w:r>
      <w:r w:rsidRPr="00EA59AF">
        <w:rPr>
          <w:rFonts w:ascii="Arial" w:eastAsia="Times New Roman" w:hAnsi="Arial" w:cs="Arial"/>
          <w:noProof/>
          <w:color w:val="FFFFFF"/>
          <w:bdr w:val="none" w:sz="0" w:space="0" w:color="auto" w:frame="1"/>
          <w:lang w:eastAsia="es-CO"/>
        </w:rPr>
        <w:t>usuario</w:t>
      </w:r>
      <w:r>
        <w:rPr>
          <w:rFonts w:ascii="Arial" w:eastAsia="Times New Roman" w:hAnsi="Arial" w:cs="Arial"/>
          <w:noProof/>
          <w:color w:val="FFFFFF"/>
          <w:bdr w:val="none" w:sz="0" w:space="0" w:color="auto" w:frame="1"/>
          <w:lang w:eastAsia="es-CO"/>
        </w:rPr>
        <w:t>}</w:t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fldChar w:fldCharType="end"/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fldChar w:fldCharType="begin"/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instrText>DATE</w:instrText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FFFFFF"/>
          <w:bdr w:val="none" w:sz="0" w:space="0" w:color="auto" w:frame="1"/>
          <w:lang w:eastAsia="es-CO"/>
        </w:rPr>
        <w:t>31/10/2023</w:t>
      </w:r>
      <w:r w:rsidRPr="00EA59AF">
        <w:rPr>
          <w:rFonts w:ascii="Arial" w:eastAsia="Times New Roman" w:hAnsi="Arial" w:cs="Arial"/>
          <w:color w:val="FFFFFF"/>
          <w:bdr w:val="none" w:sz="0" w:space="0" w:color="auto" w:frame="1"/>
          <w:lang w:eastAsia="es-CO"/>
        </w:rPr>
        <w:fldChar w:fldCharType="end"/>
      </w:r>
    </w:p>
    <w:p w14:paraId="2CE70A26" w14:textId="6616BBFD" w:rsidR="007D1535" w:rsidRDefault="007D1535" w:rsidP="007D1535">
      <w:pPr>
        <w:spacing w:after="0" w:line="240" w:lineRule="auto"/>
        <w:ind w:left="-5"/>
        <w:jc w:val="both"/>
      </w:pPr>
      <w:r>
        <w:rPr>
          <w:sz w:val="16"/>
        </w:rPr>
        <w:t xml:space="preserve"> </w:t>
      </w:r>
    </w:p>
    <w:sectPr w:rsidR="007D1535" w:rsidSect="008D0B4E">
      <w:headerReference w:type="default" r:id="rId9"/>
      <w:footerReference w:type="default" r:id="rId10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D1535" w:rsidRDefault="007D153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D1535" w:rsidRDefault="007D153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7D153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CDDCB4F" w:rsidR="007D1535" w:rsidRDefault="007D153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4A33B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4A33B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7D1535" w:rsidRDefault="007D153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7D1535" w:rsidRDefault="007D1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D1535" w:rsidRDefault="007D153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D1535" w:rsidRDefault="007D153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7D153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7D1535" w:rsidRDefault="007D153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7D1535" w:rsidRDefault="007D153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7D1535" w:rsidRDefault="007D1535" w:rsidP="00D063FB">
          <w:pPr>
            <w:spacing w:after="0" w:line="1" w:lineRule="auto"/>
            <w:rPr>
              <w:sz w:val="2"/>
            </w:rPr>
          </w:pPr>
        </w:p>
      </w:tc>
    </w:tr>
    <w:tr w:rsidR="007D153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7D1535" w:rsidRDefault="007D153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7D1535" w:rsidRDefault="007D153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2B27CF33" w14:textId="61DCD273" w:rsidR="007D1535" w:rsidRDefault="007D153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4A33B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4A33B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7D1535" w:rsidRDefault="007D1535" w:rsidP="00CD5892">
    <w:pPr>
      <w:pStyle w:val="Sinespaciado"/>
      <w:rPr>
        <w:rFonts w:ascii="Arial" w:hAnsi="Arial" w:cs="Arial"/>
      </w:rPr>
    </w:pPr>
  </w:p>
  <w:p w14:paraId="7116F61D" w14:textId="77777777" w:rsidR="007D1535" w:rsidRPr="00CD5892" w:rsidRDefault="007D153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53978"/>
    <w:multiLevelType w:val="hybridMultilevel"/>
    <w:tmpl w:val="B9AC31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ECC83D"/>
    <w:multiLevelType w:val="hybridMultilevel"/>
    <w:tmpl w:val="73A369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70405DB"/>
    <w:multiLevelType w:val="hybridMultilevel"/>
    <w:tmpl w:val="BADC377E"/>
    <w:lvl w:ilvl="0" w:tplc="5D18C98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847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48E6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423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ECD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2AC4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00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E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A4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7116107">
    <w:abstractNumId w:val="1"/>
  </w:num>
  <w:num w:numId="2" w16cid:durableId="1944802487">
    <w:abstractNumId w:val="0"/>
  </w:num>
  <w:num w:numId="3" w16cid:durableId="382868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A33B1"/>
    <w:rsid w:val="004C3255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7D1535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1470F"/>
    <w:rsid w:val="00932301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41622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paragraph" w:styleId="Ttulo1">
    <w:name w:val="heading 1"/>
    <w:next w:val="Normal"/>
    <w:link w:val="Ttulo1Car"/>
    <w:uiPriority w:val="9"/>
    <w:qFormat/>
    <w:rsid w:val="007D1535"/>
    <w:pPr>
      <w:keepNext/>
      <w:keepLines/>
      <w:spacing w:after="0" w:line="259" w:lineRule="auto"/>
      <w:ind w:left="2840" w:right="2469" w:hanging="10"/>
      <w:jc w:val="center"/>
      <w:outlineLvl w:val="0"/>
    </w:pPr>
    <w:rPr>
      <w:rFonts w:ascii="Arial" w:eastAsia="Arial" w:hAnsi="Arial" w:cs="Arial"/>
      <w:b/>
      <w:color w:val="000000"/>
      <w:kern w:val="2"/>
      <w:lang w:eastAsia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customStyle="1" w:styleId="Default">
    <w:name w:val="Default"/>
    <w:rsid w:val="00932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D1535"/>
    <w:rPr>
      <w:rFonts w:ascii="Arial" w:eastAsia="Arial" w:hAnsi="Arial" w:cs="Arial"/>
      <w:b/>
      <w:color w:val="000000"/>
      <w:kern w:val="2"/>
      <w:lang w:eastAsia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E3D1-CF69-4A9D-B9F9-EF56AED2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</cp:revision>
  <cp:lastPrinted>2020-02-27T16:19:00Z</cp:lastPrinted>
  <dcterms:created xsi:type="dcterms:W3CDTF">2023-10-31T17:45:00Z</dcterms:created>
  <dcterms:modified xsi:type="dcterms:W3CDTF">2023-10-31T17:45:00Z</dcterms:modified>
</cp:coreProperties>
</file>