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55C3BFBA" w:rsidR="00633437" w:rsidRPr="005601EA" w:rsidRDefault="00580E11" w:rsidP="00992031">
      <w:pPr>
        <w:pStyle w:val="NormalWeb"/>
        <w:spacing w:before="0" w:beforeAutospacing="0" w:after="0" w:afterAutospacing="0"/>
        <w:rPr>
          <w:rFonts w:ascii="Arial" w:hAnsi="Arial" w:cs="Arial"/>
          <w:sz w:val="21"/>
          <w:szCs w:val="21"/>
        </w:rPr>
      </w:pPr>
      <w:r w:rsidRPr="005601EA">
        <w:rPr>
          <w:rFonts w:ascii="Arial" w:hAnsi="Arial" w:cs="Arial"/>
          <w:sz w:val="21"/>
          <w:szCs w:val="21"/>
        </w:rPr>
        <w:fldChar w:fldCharType="begin"/>
      </w:r>
      <w:r w:rsidR="00655A4A" w:rsidRPr="005601EA">
        <w:rPr>
          <w:rFonts w:ascii="Arial" w:hAnsi="Arial" w:cs="Arial"/>
          <w:sz w:val="21"/>
          <w:szCs w:val="21"/>
        </w:rPr>
        <w:instrText xml:space="preserve"> MERGEFIELD Sigobius </w:instrText>
      </w:r>
      <w:r w:rsidRPr="005601EA">
        <w:rPr>
          <w:rFonts w:ascii="Arial" w:hAnsi="Arial" w:cs="Arial"/>
          <w:sz w:val="21"/>
          <w:szCs w:val="21"/>
        </w:rPr>
        <w:fldChar w:fldCharType="separate"/>
      </w:r>
      <w:r w:rsidR="005E7999">
        <w:rPr>
          <w:rFonts w:ascii="Arial" w:hAnsi="Arial" w:cs="Arial"/>
          <w:noProof/>
          <w:sz w:val="21"/>
          <w:szCs w:val="21"/>
        </w:rPr>
        <w:t>${</w:t>
      </w:r>
      <w:r w:rsidR="00DF232F" w:rsidRPr="005601EA">
        <w:rPr>
          <w:rFonts w:ascii="Arial" w:hAnsi="Arial" w:cs="Arial"/>
          <w:noProof/>
          <w:sz w:val="21"/>
          <w:szCs w:val="21"/>
        </w:rPr>
        <w:t>Sigobius</w:t>
      </w:r>
      <w:r w:rsidR="005E7999">
        <w:rPr>
          <w:rFonts w:ascii="Arial" w:hAnsi="Arial" w:cs="Arial"/>
          <w:noProof/>
          <w:sz w:val="21"/>
          <w:szCs w:val="21"/>
        </w:rPr>
        <w:t>}</w:t>
      </w:r>
      <w:r w:rsidRPr="005601EA">
        <w:rPr>
          <w:rFonts w:ascii="Arial" w:hAnsi="Arial" w:cs="Arial"/>
          <w:sz w:val="21"/>
          <w:szCs w:val="21"/>
        </w:rPr>
        <w:fldChar w:fldCharType="end"/>
      </w:r>
    </w:p>
    <w:p w14:paraId="14A98AB4" w14:textId="64958D99" w:rsidR="00FD2682" w:rsidRPr="005601EA" w:rsidRDefault="00FD2682" w:rsidP="00992031">
      <w:pPr>
        <w:pStyle w:val="Sinespaciado"/>
        <w:rPr>
          <w:rFonts w:ascii="Arial" w:hAnsi="Arial" w:cs="Arial"/>
          <w:sz w:val="18"/>
          <w:szCs w:val="21"/>
          <w:lang w:eastAsia="es-CO"/>
        </w:rPr>
      </w:pPr>
      <w:r w:rsidRPr="005601EA">
        <w:rPr>
          <w:rFonts w:ascii="Arial" w:hAnsi="Arial" w:cs="Arial"/>
          <w:sz w:val="18"/>
          <w:szCs w:val="21"/>
          <w:lang w:eastAsia="es-CO"/>
        </w:rPr>
        <w:t>Al contestar cite este número</w:t>
      </w:r>
    </w:p>
    <w:p w14:paraId="58660285" w14:textId="77777777" w:rsidR="00BB37F5" w:rsidRPr="005601EA" w:rsidRDefault="00BB37F5" w:rsidP="00992031">
      <w:pPr>
        <w:pStyle w:val="Sinespaciado"/>
        <w:rPr>
          <w:rFonts w:ascii="Arial" w:hAnsi="Arial" w:cs="Arial"/>
          <w:sz w:val="21"/>
          <w:szCs w:val="21"/>
          <w:lang w:eastAsia="es-CO"/>
        </w:rPr>
      </w:pPr>
    </w:p>
    <w:p w14:paraId="2A2BB0A9" w14:textId="153D24AE" w:rsidR="008A72FE" w:rsidRPr="007233BC" w:rsidRDefault="00580E11" w:rsidP="008A72FE">
      <w:pPr>
        <w:spacing w:after="0" w:line="240" w:lineRule="auto"/>
        <w:rPr>
          <w:rFonts w:ascii="Arial" w:eastAsia="Arial" w:hAnsi="Arial" w:cs="Arial"/>
        </w:rPr>
      </w:pPr>
      <w:r w:rsidRPr="005601EA">
        <w:rPr>
          <w:rFonts w:ascii="Arial" w:eastAsia="Times New Roman" w:hAnsi="Arial" w:cs="Arial"/>
          <w:sz w:val="21"/>
          <w:szCs w:val="21"/>
          <w:lang w:eastAsia="es-CO"/>
        </w:rPr>
        <w:fldChar w:fldCharType="begin"/>
      </w:r>
      <w:r w:rsidR="00655A4A" w:rsidRPr="005601EA">
        <w:rPr>
          <w:rFonts w:ascii="Arial" w:eastAsia="Times New Roman" w:hAnsi="Arial" w:cs="Arial"/>
          <w:sz w:val="21"/>
          <w:szCs w:val="21"/>
          <w:lang w:eastAsia="es-CO"/>
        </w:rPr>
        <w:instrText xml:space="preserve"> MERGEFIELD Ciudad </w:instrText>
      </w:r>
      <w:r w:rsidRPr="005601EA">
        <w:rPr>
          <w:rFonts w:ascii="Arial" w:eastAsia="Times New Roman" w:hAnsi="Arial" w:cs="Arial"/>
          <w:sz w:val="21"/>
          <w:szCs w:val="21"/>
          <w:lang w:eastAsia="es-CO"/>
        </w:rPr>
        <w:fldChar w:fldCharType="separate"/>
      </w:r>
      <w:r w:rsidR="005E7999">
        <w:rPr>
          <w:rFonts w:ascii="Arial" w:eastAsia="Times New Roman" w:hAnsi="Arial" w:cs="Arial"/>
          <w:noProof/>
          <w:sz w:val="21"/>
          <w:szCs w:val="21"/>
          <w:lang w:eastAsia="es-CO"/>
        </w:rPr>
        <w:t>${</w:t>
      </w:r>
      <w:r w:rsidR="00DF232F" w:rsidRPr="005601EA">
        <w:rPr>
          <w:rFonts w:ascii="Arial" w:eastAsia="Times New Roman" w:hAnsi="Arial" w:cs="Arial"/>
          <w:noProof/>
          <w:sz w:val="21"/>
          <w:szCs w:val="21"/>
          <w:lang w:eastAsia="es-CO"/>
        </w:rPr>
        <w:t>Ciudad</w:t>
      </w:r>
      <w:r w:rsidR="005E7999">
        <w:rPr>
          <w:rFonts w:ascii="Arial" w:eastAsia="Times New Roman" w:hAnsi="Arial" w:cs="Arial"/>
          <w:noProof/>
          <w:sz w:val="21"/>
          <w:szCs w:val="21"/>
          <w:lang w:eastAsia="es-CO"/>
        </w:rPr>
        <w:t>}</w:t>
      </w:r>
      <w:r w:rsidRPr="005601EA">
        <w:rPr>
          <w:rFonts w:ascii="Arial" w:eastAsia="Times New Roman" w:hAnsi="Arial" w:cs="Arial"/>
          <w:sz w:val="21"/>
          <w:szCs w:val="21"/>
          <w:lang w:eastAsia="es-CO"/>
        </w:rPr>
        <w:fldChar w:fldCharType="end"/>
      </w:r>
      <w:r w:rsidR="00FD2682" w:rsidRPr="005601EA">
        <w:rPr>
          <w:rFonts w:ascii="Arial" w:eastAsia="Times New Roman" w:hAnsi="Arial" w:cs="Arial"/>
          <w:sz w:val="21"/>
          <w:szCs w:val="21"/>
          <w:lang w:eastAsia="es-CO"/>
        </w:rPr>
        <w:t xml:space="preserve">, </w:t>
      </w:r>
      <w:r w:rsidR="008A72FE" w:rsidRPr="007233BC">
        <w:rPr>
          <w:rFonts w:ascii="Arial" w:eastAsia="Arial" w:hAnsi="Arial" w:cs="Arial"/>
        </w:rPr>
        <w:fldChar w:fldCharType="begin"/>
      </w:r>
      <w:r w:rsidR="008A72FE" w:rsidRPr="007233BC">
        <w:rPr>
          <w:rFonts w:ascii="Arial" w:eastAsia="Arial" w:hAnsi="Arial" w:cs="Arial"/>
        </w:rPr>
        <w:instrText xml:space="preserve"> MERGEFIELD FechaHoy </w:instrText>
      </w:r>
      <w:r w:rsidR="008A72FE" w:rsidRPr="007233BC">
        <w:rPr>
          <w:rFonts w:ascii="Arial" w:eastAsia="Arial" w:hAnsi="Arial" w:cs="Arial"/>
        </w:rPr>
        <w:fldChar w:fldCharType="separate"/>
      </w:r>
      <w:r w:rsidR="005E7999">
        <w:rPr>
          <w:rFonts w:ascii="Arial" w:eastAsia="Arial" w:hAnsi="Arial" w:cs="Arial"/>
          <w:noProof/>
        </w:rPr>
        <w:t>${</w:t>
      </w:r>
      <w:r w:rsidR="008A72FE" w:rsidRPr="008A72FE">
        <w:rPr>
          <w:rFonts w:ascii="Arial" w:eastAsia="Arial" w:hAnsi="Arial" w:cs="Arial"/>
          <w:noProof/>
          <w:sz w:val="21"/>
          <w:szCs w:val="21"/>
        </w:rPr>
        <w:t>FechaHoy</w:t>
      </w:r>
      <w:r w:rsidR="005E7999">
        <w:rPr>
          <w:rFonts w:ascii="Arial" w:eastAsia="Arial" w:hAnsi="Arial" w:cs="Arial"/>
          <w:noProof/>
        </w:rPr>
        <w:t>}</w:t>
      </w:r>
      <w:r w:rsidR="008A72FE" w:rsidRPr="007233BC">
        <w:rPr>
          <w:rFonts w:ascii="Arial" w:eastAsia="Arial" w:hAnsi="Arial" w:cs="Arial"/>
        </w:rPr>
        <w:fldChar w:fldCharType="end"/>
      </w:r>
      <w:r w:rsidR="008A72FE" w:rsidRPr="007233BC">
        <w:rPr>
          <w:noProof/>
        </w:rPr>
        <w:t xml:space="preserve"> </w:t>
      </w:r>
    </w:p>
    <w:p w14:paraId="473AD8C2" w14:textId="243897FE" w:rsidR="00C04373" w:rsidRPr="005601EA" w:rsidRDefault="00C04373" w:rsidP="00992031">
      <w:pPr>
        <w:spacing w:after="0" w:line="240" w:lineRule="auto"/>
        <w:rPr>
          <w:rFonts w:ascii="Arial" w:eastAsia="Times New Roman" w:hAnsi="Arial" w:cs="Arial"/>
          <w:sz w:val="21"/>
          <w:szCs w:val="21"/>
          <w:lang w:eastAsia="es-CO"/>
        </w:rPr>
      </w:pPr>
    </w:p>
    <w:p w14:paraId="428C4B2B" w14:textId="6919225F" w:rsidR="0077450D" w:rsidRPr="005601EA" w:rsidRDefault="0077450D" w:rsidP="0077450D">
      <w:pPr>
        <w:pBdr>
          <w:top w:val="nil"/>
          <w:left w:val="nil"/>
          <w:bottom w:val="nil"/>
          <w:right w:val="nil"/>
          <w:between w:val="nil"/>
        </w:pBdr>
        <w:spacing w:after="0" w:line="240" w:lineRule="auto"/>
        <w:rPr>
          <w:rFonts w:ascii="Arial" w:eastAsia="Arial" w:hAnsi="Arial" w:cs="Arial"/>
          <w:color w:val="FF0000"/>
          <w:sz w:val="21"/>
          <w:szCs w:val="21"/>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TableStart:Campos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TableStart:Campos</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p w14:paraId="3E298AE1" w14:textId="5AC1BC58" w:rsidR="00992031" w:rsidRPr="005601EA" w:rsidRDefault="00992031" w:rsidP="00992031">
      <w:pPr>
        <w:spacing w:after="0" w:line="240" w:lineRule="auto"/>
        <w:ind w:left="28" w:right="38"/>
        <w:rPr>
          <w:rFonts w:ascii="Arial" w:hAnsi="Arial" w:cs="Arial"/>
          <w:sz w:val="21"/>
          <w:szCs w:val="21"/>
        </w:rPr>
      </w:pPr>
    </w:p>
    <w:p w14:paraId="5563574E" w14:textId="77777777" w:rsidR="00992031" w:rsidRPr="005601EA" w:rsidRDefault="00992031" w:rsidP="00992031">
      <w:pPr>
        <w:spacing w:after="0" w:line="240" w:lineRule="auto"/>
        <w:ind w:left="28" w:right="38"/>
        <w:rPr>
          <w:rFonts w:ascii="Arial" w:hAnsi="Arial" w:cs="Arial"/>
          <w:sz w:val="21"/>
          <w:szCs w:val="21"/>
        </w:rPr>
      </w:pPr>
    </w:p>
    <w:p w14:paraId="0CDF1E32" w14:textId="6C3B8525" w:rsidR="002342E9" w:rsidRPr="005601EA" w:rsidRDefault="002342E9" w:rsidP="002342E9">
      <w:pPr>
        <w:spacing w:after="0" w:line="240" w:lineRule="auto"/>
        <w:ind w:right="283"/>
        <w:jc w:val="both"/>
        <w:rPr>
          <w:rFonts w:ascii="Arial" w:eastAsia="Arial" w:hAnsi="Arial" w:cs="Arial"/>
          <w:color w:val="FF0000"/>
          <w:sz w:val="21"/>
          <w:szCs w:val="21"/>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Doctor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Doctor</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p w14:paraId="66961970" w14:textId="58ACD4E5" w:rsidR="002342E9" w:rsidRPr="005601EA" w:rsidRDefault="002342E9" w:rsidP="002342E9">
      <w:pPr>
        <w:spacing w:after="0" w:line="240" w:lineRule="auto"/>
        <w:ind w:right="283"/>
        <w:jc w:val="both"/>
        <w:rPr>
          <w:rFonts w:ascii="Arial" w:eastAsia="Arial" w:hAnsi="Arial" w:cs="Arial"/>
          <w:color w:val="FF0000"/>
          <w:sz w:val="21"/>
          <w:szCs w:val="21"/>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DespachoJuez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DespachoJuez</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p w14:paraId="275ABD26" w14:textId="63FF0714" w:rsidR="002342E9" w:rsidRPr="005601EA" w:rsidRDefault="002342E9" w:rsidP="002342E9">
      <w:pPr>
        <w:spacing w:after="0" w:line="240" w:lineRule="auto"/>
        <w:ind w:right="283"/>
        <w:jc w:val="both"/>
        <w:rPr>
          <w:rFonts w:ascii="Arial" w:eastAsia="Arial" w:hAnsi="Arial" w:cs="Arial"/>
          <w:color w:val="FF0000"/>
          <w:sz w:val="21"/>
          <w:szCs w:val="21"/>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Despacho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Despacho</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p w14:paraId="5F171E04" w14:textId="5280C2AA" w:rsidR="002342E9" w:rsidRPr="005601EA" w:rsidRDefault="002342E9" w:rsidP="002342E9">
      <w:pPr>
        <w:spacing w:after="0" w:line="240" w:lineRule="auto"/>
        <w:ind w:right="283"/>
        <w:jc w:val="both"/>
        <w:rPr>
          <w:rFonts w:ascii="Arial" w:eastAsia="Arial" w:hAnsi="Arial" w:cs="Arial"/>
          <w:color w:val="FF0000"/>
          <w:sz w:val="21"/>
          <w:szCs w:val="21"/>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DespachoDireccion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DespachoDireccion</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p w14:paraId="14E756AC" w14:textId="3D49B188" w:rsidR="002342E9" w:rsidRPr="005601EA" w:rsidRDefault="00246DF6" w:rsidP="002342E9">
      <w:pPr>
        <w:spacing w:after="0" w:line="240" w:lineRule="auto"/>
        <w:ind w:right="283"/>
        <w:jc w:val="both"/>
        <w:rPr>
          <w:rFonts w:ascii="Arial" w:eastAsia="Arial" w:hAnsi="Arial" w:cs="Arial"/>
          <w:color w:val="FF0000"/>
          <w:sz w:val="21"/>
          <w:szCs w:val="21"/>
        </w:rPr>
      </w:pPr>
      <w:r w:rsidRPr="005601EA">
        <w:rPr>
          <w:rFonts w:ascii="Arial" w:eastAsia="Arial" w:hAnsi="Arial" w:cs="Arial"/>
          <w:color w:val="FF0000"/>
          <w:sz w:val="21"/>
          <w:szCs w:val="21"/>
        </w:rPr>
        <w:t xml:space="preserve">Correo: </w:t>
      </w:r>
      <w:r w:rsidR="002342E9" w:rsidRPr="005601EA">
        <w:rPr>
          <w:rFonts w:ascii="Arial" w:eastAsia="Arial" w:hAnsi="Arial" w:cs="Arial"/>
          <w:color w:val="FF0000"/>
          <w:sz w:val="21"/>
          <w:szCs w:val="21"/>
        </w:rPr>
        <w:fldChar w:fldCharType="begin"/>
      </w:r>
      <w:r w:rsidR="002342E9" w:rsidRPr="005601EA">
        <w:rPr>
          <w:rFonts w:ascii="Arial" w:eastAsia="Arial" w:hAnsi="Arial" w:cs="Arial"/>
          <w:color w:val="FF0000"/>
          <w:sz w:val="21"/>
          <w:szCs w:val="21"/>
        </w:rPr>
        <w:instrText xml:space="preserve"> MERGEFIELD DespachoCorreo </w:instrText>
      </w:r>
      <w:r w:rsidR="002342E9"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002342E9" w:rsidRPr="005601EA">
        <w:rPr>
          <w:rFonts w:ascii="Arial" w:eastAsia="Arial" w:hAnsi="Arial" w:cs="Arial"/>
          <w:noProof/>
          <w:color w:val="FF0000"/>
          <w:sz w:val="21"/>
          <w:szCs w:val="21"/>
        </w:rPr>
        <w:t>DespachoCorreo</w:t>
      </w:r>
      <w:r w:rsidR="005E7999">
        <w:rPr>
          <w:rFonts w:ascii="Arial" w:eastAsia="Arial" w:hAnsi="Arial" w:cs="Arial"/>
          <w:noProof/>
          <w:color w:val="FF0000"/>
          <w:sz w:val="21"/>
          <w:szCs w:val="21"/>
        </w:rPr>
        <w:t>}</w:t>
      </w:r>
      <w:r w:rsidR="002342E9" w:rsidRPr="005601EA">
        <w:rPr>
          <w:rFonts w:ascii="Arial" w:eastAsia="Arial" w:hAnsi="Arial" w:cs="Arial"/>
          <w:color w:val="FF0000"/>
          <w:sz w:val="21"/>
          <w:szCs w:val="21"/>
        </w:rPr>
        <w:fldChar w:fldCharType="end"/>
      </w:r>
    </w:p>
    <w:p w14:paraId="2888396C" w14:textId="77777777" w:rsidR="00DD5572" w:rsidRPr="005601EA" w:rsidRDefault="00DD5572" w:rsidP="00992031">
      <w:pPr>
        <w:spacing w:after="0" w:line="240" w:lineRule="auto"/>
        <w:jc w:val="both"/>
        <w:rPr>
          <w:rFonts w:ascii="Arial" w:hAnsi="Arial" w:cs="Arial"/>
          <w:color w:val="000000"/>
          <w:sz w:val="21"/>
          <w:szCs w:val="21"/>
        </w:rPr>
      </w:pPr>
    </w:p>
    <w:p w14:paraId="0EBA8D97" w14:textId="77777777" w:rsidR="002342E9" w:rsidRPr="005601EA" w:rsidRDefault="002342E9" w:rsidP="00992031">
      <w:pPr>
        <w:tabs>
          <w:tab w:val="left" w:pos="8505"/>
        </w:tabs>
        <w:spacing w:after="0" w:line="240" w:lineRule="auto"/>
        <w:ind w:left="993" w:right="51" w:hanging="993"/>
        <w:jc w:val="both"/>
        <w:rPr>
          <w:rFonts w:ascii="Arial" w:eastAsia="Arial" w:hAnsi="Arial" w:cs="Arial"/>
          <w:b/>
          <w:iCs/>
          <w:sz w:val="21"/>
          <w:szCs w:val="21"/>
        </w:rPr>
      </w:pPr>
    </w:p>
    <w:p w14:paraId="0D0FA3DA" w14:textId="77041221" w:rsidR="00DD5572" w:rsidRPr="005601EA" w:rsidRDefault="00DD5572" w:rsidP="00992031">
      <w:pPr>
        <w:tabs>
          <w:tab w:val="left" w:pos="8505"/>
        </w:tabs>
        <w:spacing w:after="0" w:line="240" w:lineRule="auto"/>
        <w:ind w:left="993" w:right="51" w:hanging="993"/>
        <w:jc w:val="both"/>
        <w:rPr>
          <w:rFonts w:ascii="Arial" w:eastAsia="Arial" w:hAnsi="Arial" w:cs="Arial"/>
          <w:iCs/>
          <w:sz w:val="21"/>
          <w:szCs w:val="21"/>
        </w:rPr>
      </w:pPr>
      <w:r w:rsidRPr="005601EA">
        <w:rPr>
          <w:rFonts w:ascii="Arial" w:eastAsia="Arial" w:hAnsi="Arial" w:cs="Arial"/>
          <w:b/>
          <w:iCs/>
          <w:sz w:val="21"/>
          <w:szCs w:val="21"/>
        </w:rPr>
        <w:t>Asunto</w:t>
      </w:r>
      <w:r w:rsidRPr="005601EA">
        <w:rPr>
          <w:rFonts w:ascii="Arial" w:eastAsia="Arial" w:hAnsi="Arial" w:cs="Arial"/>
          <w:iCs/>
          <w:sz w:val="21"/>
          <w:szCs w:val="21"/>
        </w:rPr>
        <w:t>: Remisión de títulos ejecutivos complejos contentivos de multas penales, por tratarse de cobros que compete hacer a ese Ministerio</w:t>
      </w:r>
      <w:r w:rsidR="003D1C51" w:rsidRPr="005601EA">
        <w:rPr>
          <w:rFonts w:ascii="Arial" w:eastAsia="Arial" w:hAnsi="Arial" w:cs="Arial"/>
          <w:iCs/>
          <w:sz w:val="21"/>
          <w:szCs w:val="21"/>
        </w:rPr>
        <w:t xml:space="preserve">, según radicado </w:t>
      </w:r>
      <w:proofErr w:type="spellStart"/>
      <w:r w:rsidR="003D1C51" w:rsidRPr="005601EA">
        <w:rPr>
          <w:rFonts w:ascii="Arial" w:eastAsia="Arial" w:hAnsi="Arial" w:cs="Arial"/>
          <w:iCs/>
          <w:sz w:val="21"/>
          <w:szCs w:val="21"/>
        </w:rPr>
        <w:t>n°</w:t>
      </w:r>
      <w:proofErr w:type="spellEnd"/>
      <w:r w:rsidR="003D1C51" w:rsidRPr="005601EA">
        <w:rPr>
          <w:rFonts w:ascii="Arial" w:eastAsia="Arial" w:hAnsi="Arial" w:cs="Arial"/>
          <w:iCs/>
          <w:sz w:val="21"/>
          <w:szCs w:val="21"/>
        </w:rPr>
        <w:t xml:space="preserve">. </w:t>
      </w:r>
      <w:r w:rsidR="003D1C51" w:rsidRPr="005601EA">
        <w:rPr>
          <w:rFonts w:ascii="Arial" w:eastAsia="Arial" w:hAnsi="Arial" w:cs="Arial"/>
          <w:sz w:val="21"/>
          <w:szCs w:val="21"/>
        </w:rPr>
        <w:fldChar w:fldCharType="begin"/>
      </w:r>
      <w:r w:rsidR="003D1C51" w:rsidRPr="005601EA">
        <w:rPr>
          <w:rFonts w:ascii="Arial" w:eastAsia="Arial" w:hAnsi="Arial" w:cs="Arial"/>
          <w:sz w:val="21"/>
          <w:szCs w:val="21"/>
        </w:rPr>
        <w:instrText xml:space="preserve"> MERGEFIELD  Remisorio </w:instrText>
      </w:r>
      <w:r w:rsidR="003D1C51" w:rsidRPr="005601EA">
        <w:rPr>
          <w:rFonts w:ascii="Arial" w:eastAsia="Arial" w:hAnsi="Arial" w:cs="Arial"/>
          <w:sz w:val="21"/>
          <w:szCs w:val="21"/>
        </w:rPr>
        <w:fldChar w:fldCharType="separate"/>
      </w:r>
      <w:r w:rsidR="005E7999">
        <w:rPr>
          <w:rFonts w:ascii="Arial" w:eastAsia="Arial" w:hAnsi="Arial" w:cs="Arial"/>
          <w:noProof/>
          <w:sz w:val="21"/>
          <w:szCs w:val="21"/>
        </w:rPr>
        <w:t>${</w:t>
      </w:r>
      <w:r w:rsidR="003D1C51" w:rsidRPr="005601EA">
        <w:rPr>
          <w:rFonts w:ascii="Arial" w:eastAsia="Arial" w:hAnsi="Arial" w:cs="Arial"/>
          <w:noProof/>
          <w:sz w:val="21"/>
          <w:szCs w:val="21"/>
        </w:rPr>
        <w:t>Remisorio</w:t>
      </w:r>
      <w:r w:rsidR="005E7999">
        <w:rPr>
          <w:rFonts w:ascii="Arial" w:eastAsia="Arial" w:hAnsi="Arial" w:cs="Arial"/>
          <w:noProof/>
          <w:sz w:val="21"/>
          <w:szCs w:val="21"/>
        </w:rPr>
        <w:t>}</w:t>
      </w:r>
      <w:r w:rsidR="003D1C51" w:rsidRPr="005601EA">
        <w:rPr>
          <w:rFonts w:ascii="Arial" w:eastAsia="Arial" w:hAnsi="Arial" w:cs="Arial"/>
          <w:sz w:val="21"/>
          <w:szCs w:val="21"/>
        </w:rPr>
        <w:fldChar w:fldCharType="end"/>
      </w:r>
    </w:p>
    <w:p w14:paraId="2C0D9DD7" w14:textId="77777777" w:rsidR="00DD5572" w:rsidRPr="005601EA" w:rsidRDefault="00DD5572" w:rsidP="00992031">
      <w:pPr>
        <w:spacing w:after="0" w:line="240" w:lineRule="auto"/>
        <w:ind w:right="283"/>
        <w:jc w:val="both"/>
        <w:rPr>
          <w:rFonts w:ascii="Arial" w:eastAsia="Arial" w:hAnsi="Arial" w:cs="Arial"/>
          <w:iCs/>
          <w:sz w:val="21"/>
          <w:szCs w:val="21"/>
        </w:rPr>
      </w:pPr>
    </w:p>
    <w:p w14:paraId="216D0B10" w14:textId="77777777" w:rsidR="00DD5572" w:rsidRPr="005601EA" w:rsidRDefault="00DD5572" w:rsidP="00992031">
      <w:pPr>
        <w:spacing w:after="0" w:line="240" w:lineRule="auto"/>
        <w:ind w:right="283"/>
        <w:jc w:val="both"/>
        <w:rPr>
          <w:rFonts w:ascii="Arial" w:eastAsia="Arial" w:hAnsi="Arial" w:cs="Arial"/>
          <w:iCs/>
          <w:sz w:val="21"/>
          <w:szCs w:val="21"/>
        </w:rPr>
      </w:pPr>
      <w:r w:rsidRPr="005601EA">
        <w:rPr>
          <w:rFonts w:ascii="Arial" w:eastAsia="Arial" w:hAnsi="Arial" w:cs="Arial"/>
          <w:iCs/>
          <w:sz w:val="21"/>
          <w:szCs w:val="21"/>
        </w:rPr>
        <w:t>Respetado doctor Ceballos Martínez,</w:t>
      </w:r>
    </w:p>
    <w:p w14:paraId="6F4E2300" w14:textId="77777777" w:rsidR="00DD5572" w:rsidRPr="005601EA" w:rsidRDefault="00DD5572" w:rsidP="00992031">
      <w:pPr>
        <w:spacing w:after="0" w:line="240" w:lineRule="auto"/>
        <w:ind w:right="283"/>
        <w:jc w:val="both"/>
        <w:rPr>
          <w:rFonts w:ascii="Arial" w:eastAsia="Arial" w:hAnsi="Arial" w:cs="Arial"/>
          <w:iCs/>
          <w:sz w:val="21"/>
          <w:szCs w:val="21"/>
        </w:rPr>
      </w:pPr>
    </w:p>
    <w:p w14:paraId="23A1AE10" w14:textId="77777777" w:rsidR="00DD5572" w:rsidRPr="005601EA" w:rsidRDefault="00DD5572" w:rsidP="00992031">
      <w:pPr>
        <w:spacing w:after="0" w:line="240" w:lineRule="auto"/>
        <w:jc w:val="both"/>
        <w:rPr>
          <w:rFonts w:ascii="Arial" w:hAnsi="Arial" w:cs="Arial"/>
          <w:sz w:val="21"/>
          <w:szCs w:val="21"/>
        </w:rPr>
      </w:pPr>
      <w:r w:rsidRPr="005601EA">
        <w:rPr>
          <w:rFonts w:ascii="Arial" w:hAnsi="Arial" w:cs="Arial"/>
          <w:sz w:val="21"/>
          <w:szCs w:val="21"/>
        </w:rPr>
        <w:t xml:space="preserve">Conocimos el comunicado de prensa 6 de 1° y 2 de marzo de 2023 de la Corte Constitucional, en el que esa Alta Corte anunció, que mediante la sentencia C-043 del 1° de marzo de 2023, se declaró la </w:t>
      </w:r>
      <w:proofErr w:type="spellStart"/>
      <w:r w:rsidRPr="005601EA">
        <w:rPr>
          <w:rFonts w:ascii="Arial" w:hAnsi="Arial" w:cs="Arial"/>
          <w:sz w:val="21"/>
          <w:szCs w:val="21"/>
        </w:rPr>
        <w:t>inexequibilidad</w:t>
      </w:r>
      <w:proofErr w:type="spellEnd"/>
      <w:r w:rsidRPr="005601EA">
        <w:rPr>
          <w:rFonts w:ascii="Arial" w:hAnsi="Arial" w:cs="Arial"/>
          <w:sz w:val="21"/>
          <w:szCs w:val="21"/>
        </w:rPr>
        <w:t xml:space="preserve"> del parágrafo del artículo 6 de la Ley 2197 de 2022, norma por la cual se había asignado a la Agencia Nacional de Defensa Jurídica del Estado, la competencia para el cobro de multas penales exigibles a partir del 25 de enero de 2022.</w:t>
      </w:r>
    </w:p>
    <w:p w14:paraId="0C9F676B" w14:textId="77777777" w:rsidR="00DD5572" w:rsidRPr="005601EA" w:rsidRDefault="00DD5572" w:rsidP="00992031">
      <w:pPr>
        <w:spacing w:after="0" w:line="240" w:lineRule="auto"/>
        <w:jc w:val="both"/>
        <w:rPr>
          <w:rFonts w:ascii="Arial" w:hAnsi="Arial" w:cs="Arial"/>
          <w:sz w:val="21"/>
          <w:szCs w:val="21"/>
        </w:rPr>
      </w:pPr>
    </w:p>
    <w:p w14:paraId="5A4F31E9" w14:textId="77777777" w:rsidR="00DD5572" w:rsidRPr="005601EA" w:rsidRDefault="00DD5572" w:rsidP="00992031">
      <w:pPr>
        <w:spacing w:after="0" w:line="240" w:lineRule="auto"/>
        <w:jc w:val="both"/>
        <w:rPr>
          <w:rFonts w:ascii="Arial" w:hAnsi="Arial" w:cs="Arial"/>
          <w:sz w:val="21"/>
          <w:szCs w:val="21"/>
        </w:rPr>
      </w:pPr>
      <w:r w:rsidRPr="005601EA">
        <w:rPr>
          <w:rFonts w:ascii="Arial" w:hAnsi="Arial" w:cs="Arial"/>
          <w:sz w:val="21"/>
          <w:szCs w:val="21"/>
        </w:rPr>
        <w:t>Al respecto, para la referida Agencia, los efectos de dicha providencia, iniciaron desde el 2 de marzo del año que avanza, postura que fundamentan en el auto A966 de 2021, proferido igualmente por la Corporación Judicial en mención, pese a que, a la fecha de este oficio, desconozcamos el texto completo de la sentencia de constitucionalidad, que para la Rama Judicial y para el Ministerio de Justicia y del Derecho, resulta de urgente importancia conocer en su integridad, especialmente en su parte motiva, toda vez que hasta el momento, presuntamente, el estado de cosas, no volvió a aquel en el que se encontraban antes de la publicación de la Ley 2197 de 2022, tanto frente a la responsabilidad del impulso jurídico como en lo atinente al beneficiario del recaudo de las multas penales, ya que ambos aspectos, recaían en la Rama Judicial, y no en Ramas del Poder Público diferentes.</w:t>
      </w:r>
    </w:p>
    <w:p w14:paraId="2B3AA0C5" w14:textId="77777777" w:rsidR="00DD5572" w:rsidRPr="005601EA" w:rsidRDefault="00DD5572" w:rsidP="00992031">
      <w:pPr>
        <w:pStyle w:val="Cuerpodeltexto0"/>
        <w:shd w:val="clear" w:color="auto" w:fill="auto"/>
        <w:spacing w:after="0" w:line="240" w:lineRule="auto"/>
        <w:ind w:left="20" w:right="60" w:firstLine="0"/>
        <w:jc w:val="both"/>
        <w:rPr>
          <w:color w:val="000000"/>
          <w:sz w:val="21"/>
          <w:szCs w:val="21"/>
          <w:highlight w:val="yellow"/>
          <w:lang w:eastAsia="es-CO"/>
        </w:rPr>
      </w:pPr>
    </w:p>
    <w:p w14:paraId="03367957" w14:textId="77777777" w:rsidR="00DD5572" w:rsidRPr="005601EA" w:rsidRDefault="00DD5572" w:rsidP="00992031">
      <w:pPr>
        <w:pStyle w:val="Cuerpodeltexto0"/>
        <w:shd w:val="clear" w:color="auto" w:fill="auto"/>
        <w:spacing w:after="0" w:line="240" w:lineRule="auto"/>
        <w:ind w:left="20" w:right="60" w:firstLine="0"/>
        <w:jc w:val="both"/>
        <w:rPr>
          <w:color w:val="000000"/>
          <w:sz w:val="21"/>
          <w:szCs w:val="21"/>
          <w:lang w:eastAsia="es-CO"/>
        </w:rPr>
      </w:pPr>
      <w:r w:rsidRPr="005601EA">
        <w:rPr>
          <w:color w:val="000000"/>
          <w:sz w:val="21"/>
          <w:szCs w:val="21"/>
          <w:lang w:eastAsia="es-CO"/>
        </w:rPr>
        <w:t xml:space="preserve">En consecuencia, previo a la notificación de la sentencia C-043 de 2023, la Agencia Nacional de Defensa Jurídica del Estado, ha considerado que no tiene competencia para iniciar y para continuar adelantando procesos de cobro coactivo por concepto de multas penales, y mediante los siguientes documentos radicados ante la Rama Judicial bajo los números </w:t>
      </w:r>
      <w:r w:rsidRPr="005601EA">
        <w:rPr>
          <w:sz w:val="21"/>
          <w:szCs w:val="21"/>
        </w:rPr>
        <w:t xml:space="preserve">20231030025371-OAJ, 20231030028281-OAJ y 20231030030201-OAJ </w:t>
      </w:r>
      <w:r w:rsidRPr="005601EA">
        <w:rPr>
          <w:color w:val="000000"/>
          <w:sz w:val="21"/>
          <w:szCs w:val="21"/>
          <w:lang w:eastAsia="es-CO"/>
        </w:rPr>
        <w:t xml:space="preserve">de 31/03/2023, 12/04/2023 y 14/04/2023, dirigidos al Centro de Servicios Judiciales de los Juzgados Penales de Pasto y a la Dirección Ejecutiva de Administración Judicial, respectivamente, los cuales se adjuntan, dicha Agencia ha concluido, que son las Oficinas de Cobro Coactivo de la Rama Judicial, las que deben reasumir la competencia de cobrar todas las multas penales, indistintamente de si la fecha de exigibilidad de tales obligaciones es anterior o posterior al 25 de enero de 2022, fecha en que entró a regir Ley 2197 de 2022. </w:t>
      </w:r>
    </w:p>
    <w:p w14:paraId="5BD9B4ED" w14:textId="77777777" w:rsidR="00DD5572" w:rsidRPr="005601EA" w:rsidRDefault="00DD5572" w:rsidP="00992031">
      <w:pPr>
        <w:pStyle w:val="Cuerpodeltexto0"/>
        <w:shd w:val="clear" w:color="auto" w:fill="auto"/>
        <w:spacing w:after="0" w:line="240" w:lineRule="auto"/>
        <w:ind w:left="20" w:right="60" w:firstLine="0"/>
        <w:jc w:val="both"/>
        <w:rPr>
          <w:color w:val="000000"/>
          <w:sz w:val="21"/>
          <w:szCs w:val="21"/>
          <w:lang w:eastAsia="es-CO"/>
        </w:rPr>
      </w:pPr>
    </w:p>
    <w:p w14:paraId="49FEDC63" w14:textId="77777777" w:rsidR="00DD5572" w:rsidRPr="005601EA" w:rsidRDefault="00DD5572" w:rsidP="00992031">
      <w:pPr>
        <w:pStyle w:val="Cuerpodeltexto0"/>
        <w:shd w:val="clear" w:color="auto" w:fill="auto"/>
        <w:spacing w:after="0" w:line="240" w:lineRule="auto"/>
        <w:ind w:left="20" w:right="60" w:firstLine="0"/>
        <w:jc w:val="both"/>
        <w:rPr>
          <w:color w:val="000000"/>
          <w:sz w:val="21"/>
          <w:szCs w:val="21"/>
          <w:lang w:eastAsia="es-CO"/>
        </w:rPr>
      </w:pPr>
      <w:r w:rsidRPr="005601EA">
        <w:rPr>
          <w:color w:val="000000"/>
          <w:sz w:val="21"/>
          <w:szCs w:val="21"/>
          <w:lang w:eastAsia="es-CO"/>
        </w:rPr>
        <w:t xml:space="preserve">Por lo anterior, la Agencia apoya su manifestación de incompetencia jurídica, en el siguiente apartado del Auto </w:t>
      </w:r>
      <w:r w:rsidRPr="005601EA">
        <w:rPr>
          <w:sz w:val="21"/>
          <w:szCs w:val="21"/>
        </w:rPr>
        <w:t>A966 de 2021, emanado del máximo Tribunal Constitucional colombiano:</w:t>
      </w:r>
    </w:p>
    <w:p w14:paraId="5159AF36" w14:textId="77777777" w:rsidR="00DD5572" w:rsidRPr="005601EA" w:rsidRDefault="00DD5572" w:rsidP="00992031">
      <w:pPr>
        <w:pStyle w:val="Cuerpodeltexto0"/>
        <w:shd w:val="clear" w:color="auto" w:fill="auto"/>
        <w:spacing w:after="0" w:line="240" w:lineRule="auto"/>
        <w:ind w:left="20" w:right="60" w:firstLine="0"/>
        <w:jc w:val="both"/>
        <w:rPr>
          <w:color w:val="000000"/>
          <w:sz w:val="21"/>
          <w:szCs w:val="21"/>
          <w:lang w:eastAsia="es-CO"/>
        </w:rPr>
      </w:pPr>
      <w:r w:rsidRPr="005601EA">
        <w:rPr>
          <w:color w:val="000000"/>
          <w:sz w:val="21"/>
          <w:szCs w:val="21"/>
          <w:lang w:eastAsia="es-CO"/>
        </w:rPr>
        <w:t xml:space="preserve"> </w:t>
      </w:r>
    </w:p>
    <w:p w14:paraId="78A37E02" w14:textId="77777777" w:rsidR="00DD5572" w:rsidRPr="005601EA" w:rsidRDefault="00DD5572" w:rsidP="00992031">
      <w:pPr>
        <w:pStyle w:val="Cuerpodeltexto0"/>
        <w:shd w:val="clear" w:color="auto" w:fill="auto"/>
        <w:spacing w:after="0" w:line="240" w:lineRule="auto"/>
        <w:ind w:left="397" w:right="397" w:firstLine="0"/>
        <w:jc w:val="both"/>
        <w:rPr>
          <w:sz w:val="21"/>
          <w:szCs w:val="21"/>
        </w:rPr>
      </w:pPr>
      <w:r w:rsidRPr="005601EA">
        <w:rPr>
          <w:sz w:val="21"/>
          <w:szCs w:val="21"/>
        </w:rPr>
        <w:lastRenderedPageBreak/>
        <w:t>“</w:t>
      </w:r>
      <w:r w:rsidRPr="005601EA">
        <w:rPr>
          <w:i/>
          <w:sz w:val="21"/>
          <w:szCs w:val="21"/>
        </w:rPr>
        <w:t>En el caso de las decisiones de constitucionalidad, siempre que la Corte no establezca efectos diferidos a la decisión, esta surtirá efectos desde el instante en que un contenido normativo sea hallado incompatible con la Constitución o, de ser el caso, objeto de un condicionamiento para su validez. En estos casos, operativamente, los efectos se producen a partir del día siguiente a la fecha en que la Sala Plena adoptó la decisión y no a partir de la fecha en que se suscribe el texto, la de su notificación mediante edicto o su ejecutoria.[2] En ese sentido, una vez se divulga oficialmente la sentencia, bien sea mediante la publicación integral de su texto o el respectivo comunicado de prensa oficial, el conocimiento y cumplimiento de la parte resolutiva de la sentencia es exigible a todos los operadores jurídicos</w:t>
      </w:r>
      <w:r w:rsidRPr="005601EA">
        <w:rPr>
          <w:sz w:val="21"/>
          <w:szCs w:val="21"/>
        </w:rPr>
        <w:t>”.</w:t>
      </w:r>
    </w:p>
    <w:p w14:paraId="3326194D" w14:textId="77777777" w:rsidR="00DD5572" w:rsidRPr="005601EA" w:rsidRDefault="00DD5572" w:rsidP="00992031">
      <w:pPr>
        <w:pStyle w:val="Cuerpodeltexto0"/>
        <w:shd w:val="clear" w:color="auto" w:fill="auto"/>
        <w:spacing w:after="0" w:line="240" w:lineRule="auto"/>
        <w:ind w:left="397" w:right="397" w:firstLine="0"/>
        <w:jc w:val="both"/>
        <w:rPr>
          <w:color w:val="000000"/>
          <w:sz w:val="21"/>
          <w:szCs w:val="21"/>
          <w:highlight w:val="yellow"/>
          <w:lang w:eastAsia="es-CO"/>
        </w:rPr>
      </w:pPr>
    </w:p>
    <w:p w14:paraId="57A55B24" w14:textId="77777777" w:rsidR="00DD5572" w:rsidRPr="005601EA" w:rsidRDefault="00DD5572" w:rsidP="00992031">
      <w:pPr>
        <w:pStyle w:val="Cuerpodeltexto0"/>
        <w:shd w:val="clear" w:color="auto" w:fill="auto"/>
        <w:spacing w:after="0" w:line="240" w:lineRule="auto"/>
        <w:ind w:left="20" w:right="60" w:firstLine="0"/>
        <w:jc w:val="both"/>
        <w:rPr>
          <w:color w:val="000000"/>
          <w:sz w:val="21"/>
          <w:szCs w:val="21"/>
          <w:lang w:eastAsia="es-CO"/>
        </w:rPr>
      </w:pPr>
      <w:r w:rsidRPr="005601EA">
        <w:rPr>
          <w:color w:val="000000"/>
          <w:sz w:val="21"/>
          <w:szCs w:val="21"/>
          <w:lang w:eastAsia="es-CO"/>
        </w:rPr>
        <w:t>Adicionalmente, de la “</w:t>
      </w:r>
      <w:r w:rsidRPr="005601EA">
        <w:rPr>
          <w:i/>
          <w:color w:val="000000"/>
          <w:sz w:val="21"/>
          <w:szCs w:val="21"/>
          <w:lang w:eastAsia="es-CO"/>
        </w:rPr>
        <w:t>síntesis de los fundamentos</w:t>
      </w:r>
      <w:r w:rsidRPr="005601EA">
        <w:rPr>
          <w:color w:val="000000"/>
          <w:sz w:val="21"/>
          <w:szCs w:val="21"/>
          <w:lang w:eastAsia="es-CO"/>
        </w:rPr>
        <w:t>” que la Corte Constitucional cita en el comunicado de prensa en alusión, se infiere, que tal vez la Corte solo se pronunció en dicha sentencia, sobre los vicios de procedimiento en el proceso de formación de la norma demandada, y se desconoce si expresamente abordó asuntos de fondo, tales como, una interpretación armónica del ordenamiento jurídico, a modo de control integral, que expresamente se ocupara del primer inciso del artículo 6° de la Ley 2197 de 2022, que quedó vigente, el cual reza:</w:t>
      </w:r>
    </w:p>
    <w:p w14:paraId="7DA64872" w14:textId="77777777" w:rsidR="00DD5572" w:rsidRPr="005601EA" w:rsidRDefault="00DD5572" w:rsidP="00992031">
      <w:pPr>
        <w:pStyle w:val="NormalWeb"/>
        <w:spacing w:before="0" w:beforeAutospacing="0" w:after="0" w:afterAutospacing="0"/>
        <w:ind w:left="397" w:right="397"/>
        <w:jc w:val="both"/>
        <w:rPr>
          <w:rFonts w:ascii="Arial" w:hAnsi="Arial" w:cs="Arial"/>
          <w:i/>
          <w:sz w:val="21"/>
          <w:szCs w:val="21"/>
        </w:rPr>
      </w:pPr>
      <w:r w:rsidRPr="005601EA">
        <w:rPr>
          <w:rFonts w:ascii="Arial" w:hAnsi="Arial" w:cs="Arial"/>
          <w:color w:val="000000"/>
          <w:sz w:val="21"/>
          <w:szCs w:val="21"/>
        </w:rPr>
        <w:t>“</w:t>
      </w:r>
      <w:bookmarkStart w:id="0" w:name="6"/>
      <w:r w:rsidRPr="005601EA">
        <w:rPr>
          <w:rFonts w:ascii="Arial" w:hAnsi="Arial" w:cs="Arial"/>
          <w:i/>
          <w:sz w:val="21"/>
          <w:szCs w:val="21"/>
        </w:rPr>
        <w:t xml:space="preserve">Ley 2197 de 2022 </w:t>
      </w:r>
      <w:r w:rsidRPr="005601EA">
        <w:rPr>
          <w:rFonts w:ascii="Arial" w:hAnsi="Arial" w:cs="Arial"/>
          <w:b/>
          <w:bCs/>
          <w:i/>
          <w:sz w:val="21"/>
          <w:szCs w:val="21"/>
        </w:rPr>
        <w:t>artículo 6°.</w:t>
      </w:r>
      <w:bookmarkEnd w:id="0"/>
      <w:r w:rsidRPr="005601EA">
        <w:rPr>
          <w:rStyle w:val="baj"/>
          <w:rFonts w:ascii="Arial" w:hAnsi="Arial" w:cs="Arial"/>
          <w:b/>
          <w:bCs/>
          <w:i/>
          <w:sz w:val="21"/>
          <w:szCs w:val="21"/>
        </w:rPr>
        <w:t xml:space="preserve"> </w:t>
      </w:r>
      <w:r w:rsidRPr="005601EA">
        <w:rPr>
          <w:rStyle w:val="baj"/>
          <w:rFonts w:ascii="Arial" w:hAnsi="Arial" w:cs="Arial"/>
          <w:bCs/>
          <w:i/>
          <w:sz w:val="21"/>
          <w:szCs w:val="21"/>
        </w:rPr>
        <w:t>M</w:t>
      </w:r>
      <w:r w:rsidRPr="005601EA">
        <w:rPr>
          <w:rFonts w:ascii="Arial" w:hAnsi="Arial" w:cs="Arial"/>
          <w:i/>
          <w:sz w:val="21"/>
          <w:szCs w:val="21"/>
        </w:rPr>
        <w:t xml:space="preserve">odifíquese el artículo </w:t>
      </w:r>
      <w:hyperlink r:id="rId8" w:anchor="42" w:history="1">
        <w:r w:rsidRPr="005601EA">
          <w:rPr>
            <w:rStyle w:val="Hipervnculo"/>
            <w:rFonts w:ascii="Arial" w:hAnsi="Arial" w:cs="Arial"/>
            <w:i/>
            <w:sz w:val="21"/>
            <w:szCs w:val="21"/>
          </w:rPr>
          <w:t>42</w:t>
        </w:r>
      </w:hyperlink>
      <w:r w:rsidRPr="005601EA">
        <w:rPr>
          <w:rFonts w:ascii="Arial" w:hAnsi="Arial" w:cs="Arial"/>
          <w:i/>
          <w:sz w:val="21"/>
          <w:szCs w:val="21"/>
        </w:rPr>
        <w:t xml:space="preserve"> de la Ley 599 de 2000, el cual quedará así:</w:t>
      </w:r>
    </w:p>
    <w:p w14:paraId="6F362B7B" w14:textId="77777777" w:rsidR="00DD5572" w:rsidRPr="005601EA" w:rsidRDefault="00DD5572" w:rsidP="00992031">
      <w:pPr>
        <w:pStyle w:val="NormalWeb"/>
        <w:spacing w:before="0" w:beforeAutospacing="0" w:after="0" w:afterAutospacing="0"/>
        <w:ind w:left="397" w:right="397"/>
        <w:jc w:val="both"/>
        <w:rPr>
          <w:rFonts w:ascii="Arial" w:hAnsi="Arial" w:cs="Arial"/>
          <w:i/>
          <w:sz w:val="21"/>
          <w:szCs w:val="21"/>
        </w:rPr>
      </w:pPr>
      <w:r w:rsidRPr="005601EA">
        <w:rPr>
          <w:rFonts w:ascii="Arial" w:hAnsi="Arial" w:cs="Arial"/>
          <w:i/>
          <w:sz w:val="21"/>
          <w:szCs w:val="21"/>
        </w:rPr>
        <w:t xml:space="preserve">Artículo </w:t>
      </w:r>
      <w:hyperlink r:id="rId9" w:anchor="42" w:history="1">
        <w:r w:rsidRPr="005601EA">
          <w:rPr>
            <w:rStyle w:val="Hipervnculo"/>
            <w:rFonts w:ascii="Arial" w:hAnsi="Arial" w:cs="Arial"/>
            <w:i/>
            <w:sz w:val="21"/>
            <w:szCs w:val="21"/>
          </w:rPr>
          <w:t>42</w:t>
        </w:r>
      </w:hyperlink>
      <w:r w:rsidRPr="005601EA">
        <w:rPr>
          <w:rFonts w:ascii="Arial" w:hAnsi="Arial" w:cs="Arial"/>
          <w:i/>
          <w:sz w:val="21"/>
          <w:szCs w:val="21"/>
        </w:rPr>
        <w:t xml:space="preserve">. Destinación. Los recursos obtenidos por concepto del recaudo voluntario o coactivo de multas ingresarán al Tesoro Nacional con imputación a rubros destinados a la prevención del delito y al fortalecimiento de la estructura carcelaria. </w:t>
      </w:r>
      <w:r w:rsidRPr="005601EA">
        <w:rPr>
          <w:rFonts w:ascii="Arial" w:hAnsi="Arial" w:cs="Arial"/>
          <w:b/>
          <w:i/>
          <w:sz w:val="21"/>
          <w:szCs w:val="21"/>
        </w:rPr>
        <w:t>Se consignarán a nombre del Ministerio de Justicia y del Derecho</w:t>
      </w:r>
      <w:r w:rsidRPr="005601EA">
        <w:rPr>
          <w:rFonts w:ascii="Arial" w:hAnsi="Arial" w:cs="Arial"/>
          <w:i/>
          <w:sz w:val="21"/>
          <w:szCs w:val="21"/>
        </w:rPr>
        <w:t>, en un Fondo cuenta especial. Estos recursos podrán cofinanciar infraestructura y dotación de centros penitenciarios y carcelarios en todo el territorio nacional.</w:t>
      </w:r>
    </w:p>
    <w:p w14:paraId="0C2F0772" w14:textId="77777777" w:rsidR="00DD5572" w:rsidRPr="005601EA" w:rsidRDefault="00DD5572" w:rsidP="00992031">
      <w:pPr>
        <w:pStyle w:val="NormalWeb"/>
        <w:spacing w:before="0" w:beforeAutospacing="0" w:after="0" w:afterAutospacing="0"/>
        <w:ind w:left="397" w:right="397"/>
        <w:jc w:val="both"/>
        <w:rPr>
          <w:rFonts w:ascii="Arial" w:hAnsi="Arial" w:cs="Arial"/>
          <w:sz w:val="21"/>
          <w:szCs w:val="21"/>
        </w:rPr>
      </w:pPr>
      <w:r w:rsidRPr="005601EA">
        <w:rPr>
          <w:rStyle w:val="baj"/>
          <w:rFonts w:ascii="Arial" w:hAnsi="Arial" w:cs="Arial"/>
          <w:bCs/>
          <w:i/>
          <w:sz w:val="21"/>
          <w:szCs w:val="21"/>
        </w:rPr>
        <w:t>PARÁGRAFO</w:t>
      </w:r>
      <w:r w:rsidRPr="005601EA">
        <w:rPr>
          <w:rStyle w:val="baj"/>
          <w:rFonts w:ascii="Arial" w:hAnsi="Arial" w:cs="Arial"/>
          <w:b/>
          <w:bCs/>
          <w:i/>
          <w:sz w:val="21"/>
          <w:szCs w:val="21"/>
        </w:rPr>
        <w:t xml:space="preserve">. </w:t>
      </w:r>
      <w:r w:rsidRPr="005601EA">
        <w:rPr>
          <w:rFonts w:ascii="Arial" w:hAnsi="Arial" w:cs="Arial"/>
          <w:i/>
          <w:sz w:val="21"/>
          <w:szCs w:val="21"/>
        </w:rPr>
        <w:t xml:space="preserve">&lt;Parágrafo declarado INEXEQUIBLE&gt; por la Corte Constitucional mediante la sentencia C-043 de 2023”. </w:t>
      </w:r>
      <w:r w:rsidRPr="005601EA">
        <w:rPr>
          <w:rFonts w:ascii="Arial" w:hAnsi="Arial" w:cs="Arial"/>
          <w:sz w:val="21"/>
          <w:szCs w:val="21"/>
        </w:rPr>
        <w:t>(Negrilla agregado al texto original de la norma).</w:t>
      </w:r>
    </w:p>
    <w:p w14:paraId="033D5A56" w14:textId="77777777" w:rsidR="00DD5572" w:rsidRPr="005601EA" w:rsidRDefault="00DD5572" w:rsidP="00992031">
      <w:pPr>
        <w:pStyle w:val="NormalWeb"/>
        <w:spacing w:before="0" w:beforeAutospacing="0" w:after="0" w:afterAutospacing="0"/>
        <w:ind w:right="397"/>
        <w:jc w:val="both"/>
        <w:rPr>
          <w:rFonts w:ascii="Arial" w:hAnsi="Arial" w:cs="Arial"/>
          <w:sz w:val="21"/>
          <w:szCs w:val="21"/>
        </w:rPr>
      </w:pPr>
    </w:p>
    <w:p w14:paraId="63BF5860" w14:textId="77777777" w:rsidR="00DD5572" w:rsidRPr="005601EA" w:rsidRDefault="00DD5572" w:rsidP="00992031">
      <w:pPr>
        <w:pStyle w:val="NormalWeb"/>
        <w:spacing w:before="0" w:beforeAutospacing="0" w:after="0" w:afterAutospacing="0"/>
        <w:jc w:val="both"/>
        <w:rPr>
          <w:rFonts w:ascii="Arial" w:hAnsi="Arial" w:cs="Arial"/>
          <w:sz w:val="21"/>
          <w:szCs w:val="21"/>
        </w:rPr>
      </w:pPr>
      <w:r w:rsidRPr="005601EA">
        <w:rPr>
          <w:rFonts w:ascii="Arial" w:hAnsi="Arial" w:cs="Arial"/>
          <w:sz w:val="21"/>
          <w:szCs w:val="21"/>
        </w:rPr>
        <w:t xml:space="preserve">De cara a una lectura individual del primer inciso del artículo 6° de la Ley 2197 de 2022, esto es, no articulada, no sistemática con el resto de las normas, se colige que, -la beneficiaria de dichos recursos de multas penales, sería la Rama Ejecutiva a través del Ministerio de Justicia y del Derecho y, que aquellos tienen el tratamiento presupuestal de recursos CON SITUACIÓN DE FONDOS, es decir, que se rigen por el principio de anualidad del presupuesto-. Al quedar vigente esta norma, se está retirando tácitamente del Fondo para la Modernización Descongestión y Bienestar de la Administración de Justicia, un recurso que en esencia, le pertenece a la Rama Judicial, acorde con los arts. 192 y </w:t>
      </w:r>
      <w:proofErr w:type="spellStart"/>
      <w:r w:rsidRPr="005601EA">
        <w:rPr>
          <w:rFonts w:ascii="Arial" w:hAnsi="Arial" w:cs="Arial"/>
          <w:sz w:val="21"/>
          <w:szCs w:val="21"/>
        </w:rPr>
        <w:t>ss</w:t>
      </w:r>
      <w:proofErr w:type="spellEnd"/>
      <w:r w:rsidRPr="005601EA">
        <w:rPr>
          <w:rFonts w:ascii="Arial" w:hAnsi="Arial" w:cs="Arial"/>
          <w:sz w:val="21"/>
          <w:szCs w:val="21"/>
        </w:rPr>
        <w:t xml:space="preserve"> de la Ley Estatutaria de la Administración de Justicia 270 de 1996, arts. 3, 9 a 11 de la Ley 1743 de 2014 y su Decreto Reglamentario 1482 de 2018 “</w:t>
      </w:r>
      <w:r w:rsidRPr="005601EA">
        <w:rPr>
          <w:rFonts w:ascii="Arial" w:hAnsi="Arial" w:cs="Arial"/>
          <w:i/>
          <w:sz w:val="21"/>
          <w:szCs w:val="21"/>
        </w:rPr>
        <w:t>Por medio del cual se reglamenta el funcionamiento del Fondo para la Modernización, Descongestión y Bienestar de la Administración de Justicia</w:t>
      </w:r>
      <w:r w:rsidRPr="005601EA">
        <w:rPr>
          <w:rFonts w:ascii="Arial" w:hAnsi="Arial" w:cs="Arial"/>
          <w:sz w:val="21"/>
          <w:szCs w:val="21"/>
        </w:rPr>
        <w:t xml:space="preserve">”, los cuales no han sido derogados expresamente. </w:t>
      </w:r>
    </w:p>
    <w:p w14:paraId="3EAE517D" w14:textId="77777777" w:rsidR="00DD5572" w:rsidRPr="005601EA" w:rsidRDefault="00DD5572" w:rsidP="00992031">
      <w:pPr>
        <w:pStyle w:val="NormalWeb"/>
        <w:spacing w:before="0" w:beforeAutospacing="0" w:after="0" w:afterAutospacing="0"/>
        <w:ind w:right="397"/>
        <w:jc w:val="both"/>
        <w:rPr>
          <w:rFonts w:ascii="Arial" w:hAnsi="Arial" w:cs="Arial"/>
          <w:sz w:val="21"/>
          <w:szCs w:val="21"/>
        </w:rPr>
      </w:pPr>
    </w:p>
    <w:p w14:paraId="4079077F" w14:textId="77777777" w:rsidR="00DD5572" w:rsidRPr="005601EA" w:rsidRDefault="00DD5572" w:rsidP="00992031">
      <w:pPr>
        <w:pStyle w:val="Cuerpodeltexto0"/>
        <w:spacing w:after="0" w:line="240" w:lineRule="auto"/>
        <w:ind w:firstLine="0"/>
        <w:jc w:val="both"/>
        <w:rPr>
          <w:sz w:val="21"/>
          <w:szCs w:val="21"/>
          <w:lang w:eastAsia="es-CO"/>
        </w:rPr>
      </w:pPr>
      <w:r w:rsidRPr="005601EA">
        <w:rPr>
          <w:sz w:val="21"/>
          <w:szCs w:val="21"/>
          <w:lang w:eastAsia="es-CO"/>
        </w:rPr>
        <w:t xml:space="preserve">En tanto que, en una lectura integrada con las demás normas del ordenamiento jurídico, se tiene que, el inciso 1° del artículo 6° de la Ley 2197 de 2022, riñe con lo dispuesto en el artículo 192 de la Ley Estatutaria de la Administración de Justicia 270 de 1996, modificado en el artículo 3° de la Ley 1743 de 2014 </w:t>
      </w:r>
      <w:r w:rsidRPr="005601EA">
        <w:rPr>
          <w:i/>
          <w:sz w:val="21"/>
          <w:szCs w:val="21"/>
          <w:lang w:eastAsia="es-CO"/>
        </w:rPr>
        <w:t>“Por medio de la cual se establecen alternativas de financiamiento para la Rama Judicial”</w:t>
      </w:r>
      <w:r w:rsidRPr="005601EA">
        <w:rPr>
          <w:sz w:val="21"/>
          <w:szCs w:val="21"/>
          <w:lang w:eastAsia="es-CO"/>
        </w:rPr>
        <w:t xml:space="preserve">, en cuyo numeral 7° se dispuso, que los recursos de multas impuestas por todos los jueces, incluidas las penales, pertenecen al Fondo para la Modernización Descongestión y Bienestar de la Administración de Justicia, y por ende, estamos frente a recursos SIN SITUACIÓN DE FONDOS, esto es, que no caducan, porque no se rigen por el principio de anualidad del presupuesto; y asimismo, el primer inciso del artículo 6° de la Ley 2197 de 2022, contradice los artículos 9 a 11 de la Ley 1743 de 2014, también vigentes, de </w:t>
      </w:r>
      <w:r w:rsidRPr="005601EA">
        <w:rPr>
          <w:sz w:val="21"/>
          <w:szCs w:val="21"/>
          <w:lang w:eastAsia="es-CO"/>
        </w:rPr>
        <w:lastRenderedPageBreak/>
        <w:t>aplicación especial y preferente, dada su naturaleza estatutaria, esto es, jerárquicamente superior a la Ley ordinaria 2197 de 2022.</w:t>
      </w:r>
    </w:p>
    <w:p w14:paraId="7E2159DE" w14:textId="77777777" w:rsidR="00DD5572" w:rsidRPr="005601EA" w:rsidRDefault="00DD5572" w:rsidP="00992031">
      <w:pPr>
        <w:pStyle w:val="Cuerpodeltexto0"/>
        <w:spacing w:after="0" w:line="240" w:lineRule="auto"/>
        <w:ind w:firstLine="0"/>
        <w:jc w:val="both"/>
        <w:rPr>
          <w:sz w:val="21"/>
          <w:szCs w:val="21"/>
          <w:lang w:eastAsia="es-CO"/>
        </w:rPr>
      </w:pPr>
    </w:p>
    <w:p w14:paraId="60818578" w14:textId="77777777" w:rsidR="00DD5572" w:rsidRPr="005601EA" w:rsidRDefault="00DD5572" w:rsidP="00992031">
      <w:pPr>
        <w:pStyle w:val="Cuerpodeltexto0"/>
        <w:spacing w:after="0" w:line="240" w:lineRule="auto"/>
        <w:ind w:firstLine="0"/>
        <w:jc w:val="both"/>
        <w:rPr>
          <w:sz w:val="21"/>
          <w:szCs w:val="21"/>
          <w:lang w:eastAsia="es-CO"/>
        </w:rPr>
      </w:pPr>
      <w:r w:rsidRPr="005601EA">
        <w:rPr>
          <w:sz w:val="21"/>
          <w:szCs w:val="21"/>
          <w:lang w:eastAsia="es-CO"/>
        </w:rPr>
        <w:t>Pese a que la Ley 2197 de 2022, en su artículo 69 determinó: “</w:t>
      </w:r>
      <w:r w:rsidRPr="005601EA">
        <w:rPr>
          <w:i/>
          <w:sz w:val="21"/>
          <w:szCs w:val="21"/>
          <w:lang w:eastAsia="es-CO"/>
        </w:rPr>
        <w:t>VIGENCIA. La presente ley rige a partir de la fecha de su publicación y deroga las disposiciones que le sean contrarias y las normas que la modifiquen o adicionen</w:t>
      </w:r>
      <w:r w:rsidRPr="005601EA">
        <w:rPr>
          <w:sz w:val="21"/>
          <w:szCs w:val="21"/>
          <w:lang w:eastAsia="es-CO"/>
        </w:rPr>
        <w:t>”. Disposición que prescribe que el destino de las multas de carácter penal corresponde en un 100% al fortalecimiento carcelario, a cargo del Ministerio de Justicia, contrario a la Ley 1743 de 2014, también vigente.</w:t>
      </w:r>
    </w:p>
    <w:p w14:paraId="63EA351E" w14:textId="77777777" w:rsidR="00DD5572" w:rsidRPr="005601EA" w:rsidRDefault="00DD5572" w:rsidP="00992031">
      <w:pPr>
        <w:pStyle w:val="Cuerpodeltexto0"/>
        <w:shd w:val="clear" w:color="auto" w:fill="auto"/>
        <w:spacing w:after="0" w:line="240" w:lineRule="auto"/>
        <w:ind w:firstLine="0"/>
        <w:jc w:val="both"/>
        <w:rPr>
          <w:sz w:val="21"/>
          <w:szCs w:val="21"/>
          <w:lang w:eastAsia="es-CO"/>
        </w:rPr>
      </w:pPr>
    </w:p>
    <w:p w14:paraId="2B04A8A6" w14:textId="77777777" w:rsidR="00DD5572" w:rsidRPr="005601EA" w:rsidRDefault="00DD5572" w:rsidP="00992031">
      <w:pPr>
        <w:pStyle w:val="Cuerpodeltexto0"/>
        <w:shd w:val="clear" w:color="auto" w:fill="auto"/>
        <w:spacing w:after="0" w:line="240" w:lineRule="auto"/>
        <w:ind w:left="20" w:right="60" w:firstLine="0"/>
        <w:jc w:val="both"/>
        <w:rPr>
          <w:color w:val="000000"/>
          <w:sz w:val="21"/>
          <w:szCs w:val="21"/>
          <w:lang w:eastAsia="es-CO"/>
        </w:rPr>
      </w:pPr>
      <w:r w:rsidRPr="005601EA">
        <w:rPr>
          <w:color w:val="000000"/>
          <w:sz w:val="21"/>
          <w:szCs w:val="21"/>
          <w:lang w:eastAsia="es-CO"/>
        </w:rPr>
        <w:t>Así pues, ante la coexistencia de normas que no guardan armonía entre sí para su justa, constitucional, legal y acertada aplicación, la División de Cobro Coactivo de la Dirección Ejecutiva de Administración Judicial, revisó el marco jurídico que soporta la competencia de cobro coactivo de las Oficinas de Cobro de la Rama Judicial, el cual se reseña a continuación, para fundamentar que ante el escenario jurídico actual, es el Ministerio de Justicia y del Derecho, el competente para impulsar el cobro coactivo de las multas impuestas a título de pena, en aplicación del Código Penal:</w:t>
      </w:r>
    </w:p>
    <w:p w14:paraId="6CC6BF98" w14:textId="77777777" w:rsidR="00DD5572" w:rsidRPr="005601EA" w:rsidRDefault="00DD5572" w:rsidP="00992031">
      <w:pPr>
        <w:pStyle w:val="Prrafodelista"/>
        <w:numPr>
          <w:ilvl w:val="0"/>
          <w:numId w:val="1"/>
        </w:numPr>
        <w:tabs>
          <w:tab w:val="left" w:pos="426"/>
        </w:tabs>
        <w:spacing w:after="0" w:line="240" w:lineRule="auto"/>
        <w:ind w:left="0" w:firstLine="0"/>
        <w:jc w:val="both"/>
        <w:rPr>
          <w:rFonts w:ascii="Arial" w:hAnsi="Arial" w:cs="Arial"/>
          <w:b/>
          <w:sz w:val="21"/>
          <w:szCs w:val="21"/>
          <w:lang w:val="es-ES"/>
        </w:rPr>
      </w:pPr>
      <w:r w:rsidRPr="005601EA">
        <w:rPr>
          <w:rFonts w:ascii="Arial" w:hAnsi="Arial" w:cs="Arial"/>
          <w:sz w:val="21"/>
          <w:szCs w:val="21"/>
          <w:lang w:val="es-ES"/>
        </w:rPr>
        <w:t xml:space="preserve">La Ley 6 de 1992, en su artículo 136, faculta a la Dirección Ejecutiva de Administración Judicial y por supuesto a sus Direcciones Seccionales, a cobrar únicamente los créditos exigibles a su favor </w:t>
      </w:r>
      <w:r w:rsidRPr="005601EA">
        <w:rPr>
          <w:rFonts w:ascii="Arial" w:hAnsi="Arial" w:cs="Arial"/>
          <w:b/>
          <w:sz w:val="21"/>
          <w:szCs w:val="21"/>
          <w:lang w:val="es-ES"/>
        </w:rPr>
        <w:t>y</w:t>
      </w:r>
      <w:r w:rsidRPr="005601EA">
        <w:rPr>
          <w:rFonts w:ascii="Arial" w:hAnsi="Arial" w:cs="Arial"/>
          <w:sz w:val="21"/>
          <w:szCs w:val="21"/>
          <w:lang w:val="es-ES"/>
        </w:rPr>
        <w:t xml:space="preserve"> de la Nación. Esto implica, que no hay autorización legal para cobrar acreencias a favor de otra Rama del Poder Público, pues de entenderlo al contrario, ello equivaldría a menoscabar los recursos asignados a la Rama Judicial exclusivamente para su funcionamiento, para el cumplimiento de su misión y de sus fines institucionales, y en general, para la atención de sus necesidades, y no para trabajar con sus recursos en favor de la Rama Ejecutiva, como sucedería en este caso, según se desprende del tenor literal de la norma a continuación transcrita:</w:t>
      </w:r>
    </w:p>
    <w:p w14:paraId="1FB11B83" w14:textId="77777777" w:rsidR="00DD5572" w:rsidRPr="005601EA" w:rsidRDefault="00DD5572" w:rsidP="00992031">
      <w:pPr>
        <w:pStyle w:val="Prrafodelista"/>
        <w:spacing w:after="0" w:line="240" w:lineRule="auto"/>
        <w:jc w:val="both"/>
        <w:rPr>
          <w:rFonts w:ascii="Arial" w:hAnsi="Arial" w:cs="Arial"/>
          <w:b/>
          <w:sz w:val="21"/>
          <w:szCs w:val="21"/>
          <w:lang w:val="es-ES"/>
        </w:rPr>
      </w:pPr>
    </w:p>
    <w:p w14:paraId="68793CA4" w14:textId="77777777" w:rsidR="00DD5572" w:rsidRPr="005601EA" w:rsidRDefault="00DD5572" w:rsidP="00992031">
      <w:pPr>
        <w:pStyle w:val="Prrafodelista"/>
        <w:spacing w:after="0" w:line="240" w:lineRule="auto"/>
        <w:ind w:left="397" w:right="397"/>
        <w:jc w:val="both"/>
        <w:rPr>
          <w:rFonts w:ascii="Arial" w:hAnsi="Arial" w:cs="Arial"/>
          <w:sz w:val="21"/>
          <w:szCs w:val="21"/>
          <w:lang w:val="es-ES"/>
        </w:rPr>
      </w:pPr>
      <w:r w:rsidRPr="005601EA">
        <w:rPr>
          <w:rFonts w:ascii="Arial" w:hAnsi="Arial" w:cs="Arial"/>
          <w:sz w:val="21"/>
          <w:szCs w:val="21"/>
          <w:lang w:val="es-ES"/>
        </w:rPr>
        <w:t>“</w:t>
      </w:r>
      <w:r w:rsidRPr="005601EA">
        <w:rPr>
          <w:rFonts w:ascii="Arial" w:hAnsi="Arial" w:cs="Arial"/>
          <w:i/>
          <w:sz w:val="21"/>
          <w:szCs w:val="21"/>
          <w:lang w:val="es-ES"/>
        </w:rPr>
        <w:t xml:space="preserve">Artículo 136. FACULTAD DE COBRO COACTIVO PARA LA DIRECCIÓN NACIONAL DE ADMINISTRACIÓN JUDICIAL. De conformidad con los artículos 68 y 79 del Código Contencioso Administrativo, </w:t>
      </w:r>
      <w:r w:rsidRPr="005601EA">
        <w:rPr>
          <w:rFonts w:ascii="Arial" w:hAnsi="Arial" w:cs="Arial"/>
          <w:b/>
          <w:i/>
          <w:sz w:val="21"/>
          <w:szCs w:val="21"/>
          <w:u w:val="single"/>
          <w:lang w:val="es-ES"/>
        </w:rPr>
        <w:t>la Dirección Nacional de Administración Judicial tiene jurisdicción coactiva para hacer efectivos los créditos exigibles a su favor y de la Nación</w:t>
      </w:r>
      <w:r w:rsidRPr="005601EA">
        <w:rPr>
          <w:rFonts w:ascii="Arial" w:hAnsi="Arial" w:cs="Arial"/>
          <w:i/>
          <w:sz w:val="21"/>
          <w:szCs w:val="21"/>
          <w:lang w:val="es-ES"/>
        </w:rPr>
        <w:t>, para lo cual otorgará poder a funcionarios abogados de dicha entidad o podrá contratar apoderados especiales que sean abogados titulados</w:t>
      </w:r>
      <w:r w:rsidRPr="005601EA">
        <w:rPr>
          <w:rFonts w:ascii="Arial" w:hAnsi="Arial" w:cs="Arial"/>
          <w:sz w:val="21"/>
          <w:szCs w:val="21"/>
          <w:lang w:val="es-ES"/>
        </w:rPr>
        <w:t>”. (Negrilla agregada al texto original de la norma).</w:t>
      </w:r>
    </w:p>
    <w:p w14:paraId="0E18476F" w14:textId="77777777" w:rsidR="00DD5572" w:rsidRPr="005601EA" w:rsidRDefault="00DD5572" w:rsidP="00992031">
      <w:pPr>
        <w:pStyle w:val="Prrafodelista"/>
        <w:spacing w:after="0" w:line="240" w:lineRule="auto"/>
        <w:ind w:left="0" w:right="333"/>
        <w:jc w:val="both"/>
        <w:rPr>
          <w:rFonts w:ascii="Arial" w:hAnsi="Arial" w:cs="Arial"/>
          <w:sz w:val="21"/>
          <w:szCs w:val="21"/>
          <w:lang w:val="es-ES"/>
        </w:rPr>
      </w:pPr>
    </w:p>
    <w:p w14:paraId="5479175C" w14:textId="77777777" w:rsidR="00DD5572" w:rsidRPr="005601EA" w:rsidRDefault="00DD5572" w:rsidP="00992031">
      <w:pPr>
        <w:pStyle w:val="Prrafodelista"/>
        <w:spacing w:after="0" w:line="240" w:lineRule="auto"/>
        <w:ind w:left="0"/>
        <w:jc w:val="both"/>
        <w:rPr>
          <w:rFonts w:ascii="Arial" w:hAnsi="Arial" w:cs="Arial"/>
          <w:sz w:val="21"/>
          <w:szCs w:val="21"/>
          <w:lang w:val="es-ES"/>
        </w:rPr>
      </w:pPr>
      <w:r w:rsidRPr="005601EA">
        <w:rPr>
          <w:rFonts w:ascii="Arial" w:hAnsi="Arial" w:cs="Arial"/>
          <w:sz w:val="21"/>
          <w:szCs w:val="21"/>
          <w:lang w:val="es-ES"/>
        </w:rPr>
        <w:t xml:space="preserve">El beneficiario del recaudo, es entonces el factor determinante de la competencia para cobrar la acreencia. Por consiguiente, cada Entidad gestiona – cobra la cartera que está a su favor, como se desprende de las normas ya citadas y de las siguientes. </w:t>
      </w:r>
    </w:p>
    <w:p w14:paraId="4481FA71" w14:textId="77777777" w:rsidR="00DD5572" w:rsidRPr="005601EA" w:rsidRDefault="00DD5572" w:rsidP="00992031">
      <w:pPr>
        <w:pStyle w:val="Prrafodelista"/>
        <w:spacing w:after="0" w:line="240" w:lineRule="auto"/>
        <w:ind w:left="0" w:right="333"/>
        <w:jc w:val="both"/>
        <w:rPr>
          <w:rFonts w:ascii="Arial" w:hAnsi="Arial" w:cs="Arial"/>
          <w:sz w:val="21"/>
          <w:szCs w:val="21"/>
          <w:lang w:val="es-ES"/>
        </w:rPr>
      </w:pPr>
    </w:p>
    <w:p w14:paraId="4971889B" w14:textId="77777777" w:rsidR="00DD5572" w:rsidRPr="005601EA" w:rsidRDefault="00DD5572" w:rsidP="00992031">
      <w:pPr>
        <w:pStyle w:val="Prrafodelista"/>
        <w:spacing w:after="0" w:line="240" w:lineRule="auto"/>
        <w:ind w:left="0"/>
        <w:jc w:val="both"/>
        <w:rPr>
          <w:rFonts w:ascii="Arial" w:hAnsi="Arial" w:cs="Arial"/>
          <w:sz w:val="21"/>
          <w:szCs w:val="21"/>
          <w:lang w:val="es-ES"/>
        </w:rPr>
      </w:pPr>
      <w:r w:rsidRPr="005601EA">
        <w:rPr>
          <w:rFonts w:ascii="Arial" w:hAnsi="Arial" w:cs="Arial"/>
          <w:sz w:val="21"/>
          <w:szCs w:val="21"/>
          <w:lang w:val="es-ES"/>
        </w:rPr>
        <w:t xml:space="preserve">De tal forma, que no es de recibo jurídico interpretar, que las obligaciones de impulsar jurídicamente el cobro coactivo y de recaudar las multas penales, recaen una y otra, en Ramas del Poder Público diferentes, sino que </w:t>
      </w:r>
      <w:r w:rsidRPr="005601EA">
        <w:rPr>
          <w:rFonts w:ascii="Arial" w:hAnsi="Arial" w:cs="Arial"/>
          <w:i/>
          <w:sz w:val="21"/>
          <w:szCs w:val="21"/>
          <w:lang w:val="es-ES"/>
        </w:rPr>
        <w:t>contrario sensu</w:t>
      </w:r>
      <w:r w:rsidRPr="005601EA">
        <w:rPr>
          <w:rFonts w:ascii="Arial" w:hAnsi="Arial" w:cs="Arial"/>
          <w:sz w:val="21"/>
          <w:szCs w:val="21"/>
          <w:lang w:val="es-ES"/>
        </w:rPr>
        <w:t xml:space="preserve">, deben coincidir en una misma, por disposiciones legales y estatutaria. </w:t>
      </w:r>
    </w:p>
    <w:p w14:paraId="23928E0F" w14:textId="77777777" w:rsidR="00DD5572" w:rsidRPr="005601EA" w:rsidRDefault="00DD5572" w:rsidP="00992031">
      <w:pPr>
        <w:pStyle w:val="Prrafodelista"/>
        <w:spacing w:after="0" w:line="240" w:lineRule="auto"/>
        <w:ind w:left="0" w:right="333"/>
        <w:jc w:val="both"/>
        <w:rPr>
          <w:rFonts w:ascii="Arial" w:hAnsi="Arial" w:cs="Arial"/>
          <w:sz w:val="21"/>
          <w:szCs w:val="21"/>
          <w:lang w:val="es-ES"/>
        </w:rPr>
      </w:pPr>
    </w:p>
    <w:p w14:paraId="48609091" w14:textId="77777777" w:rsidR="00DD5572" w:rsidRPr="005601EA" w:rsidRDefault="00DD5572" w:rsidP="00992031">
      <w:pPr>
        <w:numPr>
          <w:ilvl w:val="0"/>
          <w:numId w:val="1"/>
        </w:numPr>
        <w:spacing w:after="0" w:line="240" w:lineRule="auto"/>
        <w:ind w:left="0" w:right="333" w:firstLine="0"/>
        <w:jc w:val="both"/>
        <w:rPr>
          <w:rFonts w:ascii="Arial" w:hAnsi="Arial" w:cs="Arial"/>
          <w:sz w:val="21"/>
          <w:szCs w:val="21"/>
          <w:lang w:val="es-ES"/>
        </w:rPr>
      </w:pPr>
      <w:r w:rsidRPr="005601EA">
        <w:rPr>
          <w:rFonts w:ascii="Arial" w:hAnsi="Arial" w:cs="Arial"/>
          <w:sz w:val="21"/>
          <w:szCs w:val="21"/>
          <w:lang w:val="es-ES"/>
        </w:rPr>
        <w:t>Reafirman esa premisa, las normas a continuación transcritas:</w:t>
      </w:r>
    </w:p>
    <w:p w14:paraId="3B96F094" w14:textId="77777777" w:rsidR="00DD5572" w:rsidRPr="005601EA" w:rsidRDefault="00DD5572" w:rsidP="00992031">
      <w:pPr>
        <w:spacing w:after="0" w:line="240" w:lineRule="auto"/>
        <w:ind w:right="333"/>
        <w:jc w:val="both"/>
        <w:rPr>
          <w:rFonts w:ascii="Arial" w:hAnsi="Arial" w:cs="Arial"/>
          <w:sz w:val="21"/>
          <w:szCs w:val="21"/>
          <w:lang w:val="es-ES"/>
        </w:rPr>
      </w:pPr>
    </w:p>
    <w:p w14:paraId="289838CE" w14:textId="77777777" w:rsidR="00DD5572" w:rsidRPr="005601EA" w:rsidRDefault="00DD5572" w:rsidP="00992031">
      <w:pPr>
        <w:spacing w:after="0" w:line="240" w:lineRule="auto"/>
        <w:jc w:val="both"/>
        <w:rPr>
          <w:rFonts w:ascii="Arial" w:hAnsi="Arial" w:cs="Arial"/>
          <w:sz w:val="21"/>
          <w:szCs w:val="21"/>
          <w:lang w:val="es-ES"/>
        </w:rPr>
      </w:pPr>
      <w:r w:rsidRPr="005601EA">
        <w:rPr>
          <w:rFonts w:ascii="Arial" w:hAnsi="Arial" w:cs="Arial"/>
          <w:b/>
          <w:sz w:val="21"/>
          <w:szCs w:val="21"/>
          <w:lang w:val="es-ES"/>
        </w:rPr>
        <w:t>a)</w:t>
      </w:r>
      <w:r w:rsidRPr="005601EA">
        <w:rPr>
          <w:rFonts w:ascii="Arial" w:hAnsi="Arial" w:cs="Arial"/>
          <w:sz w:val="21"/>
          <w:szCs w:val="21"/>
          <w:lang w:val="es-ES"/>
        </w:rPr>
        <w:t xml:space="preserve"> La Ley 1066 de 2006, </w:t>
      </w:r>
      <w:r w:rsidRPr="005601EA">
        <w:rPr>
          <w:rFonts w:ascii="Arial" w:hAnsi="Arial" w:cs="Arial"/>
          <w:i/>
          <w:sz w:val="21"/>
          <w:szCs w:val="21"/>
          <w:lang w:val="es-ES"/>
        </w:rPr>
        <w:t>“Por la cual se dictan normas para la normalización de la cartera pública”</w:t>
      </w:r>
      <w:r w:rsidRPr="005601EA">
        <w:rPr>
          <w:rFonts w:ascii="Arial" w:hAnsi="Arial" w:cs="Arial"/>
          <w:sz w:val="21"/>
          <w:szCs w:val="21"/>
          <w:lang w:val="es-ES"/>
        </w:rPr>
        <w:t xml:space="preserve">, contempla en el enunciado y en el </w:t>
      </w:r>
      <w:proofErr w:type="spellStart"/>
      <w:r w:rsidRPr="005601EA">
        <w:rPr>
          <w:rFonts w:ascii="Arial" w:hAnsi="Arial" w:cs="Arial"/>
          <w:sz w:val="21"/>
          <w:szCs w:val="21"/>
          <w:lang w:val="es-ES"/>
        </w:rPr>
        <w:t>num</w:t>
      </w:r>
      <w:proofErr w:type="spellEnd"/>
      <w:r w:rsidRPr="005601EA">
        <w:rPr>
          <w:rFonts w:ascii="Arial" w:hAnsi="Arial" w:cs="Arial"/>
          <w:sz w:val="21"/>
          <w:szCs w:val="21"/>
          <w:lang w:val="es-ES"/>
        </w:rPr>
        <w:t xml:space="preserve">. 2° del art. 2° y en el inc. 1° del art. 5°: </w:t>
      </w:r>
    </w:p>
    <w:p w14:paraId="72C804E9" w14:textId="77777777" w:rsidR="00DD5572" w:rsidRPr="005601EA" w:rsidRDefault="00DD5572" w:rsidP="00992031">
      <w:pPr>
        <w:spacing w:after="0" w:line="240" w:lineRule="auto"/>
        <w:ind w:right="333"/>
        <w:jc w:val="both"/>
        <w:rPr>
          <w:rFonts w:ascii="Arial" w:hAnsi="Arial" w:cs="Arial"/>
          <w:sz w:val="21"/>
          <w:szCs w:val="21"/>
          <w:lang w:val="es-ES"/>
        </w:rPr>
      </w:pPr>
    </w:p>
    <w:p w14:paraId="7E7142D2" w14:textId="77777777" w:rsidR="00DD5572" w:rsidRPr="005601EA" w:rsidRDefault="00DD5572" w:rsidP="00992031">
      <w:pPr>
        <w:spacing w:after="0" w:line="240" w:lineRule="auto"/>
        <w:ind w:left="397" w:right="397"/>
        <w:jc w:val="both"/>
        <w:rPr>
          <w:rFonts w:ascii="Arial" w:hAnsi="Arial" w:cs="Arial"/>
          <w:i/>
          <w:sz w:val="21"/>
          <w:szCs w:val="21"/>
          <w:lang w:val="es-ES"/>
        </w:rPr>
      </w:pPr>
      <w:r w:rsidRPr="005601EA">
        <w:rPr>
          <w:rFonts w:ascii="Arial" w:hAnsi="Arial" w:cs="Arial"/>
          <w:sz w:val="21"/>
          <w:szCs w:val="21"/>
          <w:lang w:val="es-ES"/>
        </w:rPr>
        <w:t>Ley 1066 de 2006, “</w:t>
      </w:r>
      <w:r w:rsidRPr="005601EA">
        <w:rPr>
          <w:rFonts w:ascii="Arial" w:hAnsi="Arial" w:cs="Arial"/>
          <w:i/>
          <w:sz w:val="21"/>
          <w:szCs w:val="21"/>
          <w:lang w:val="es-ES"/>
        </w:rPr>
        <w:t>Art. 2°</w:t>
      </w:r>
      <w:bookmarkStart w:id="1" w:name="2"/>
      <w:r w:rsidRPr="005601EA">
        <w:rPr>
          <w:rFonts w:ascii="Arial" w:hAnsi="Arial" w:cs="Arial"/>
          <w:i/>
          <w:sz w:val="21"/>
          <w:szCs w:val="21"/>
          <w:lang w:val="es-ES"/>
        </w:rPr>
        <w:t xml:space="preserve">. </w:t>
      </w:r>
      <w:r w:rsidRPr="005601EA">
        <w:rPr>
          <w:rFonts w:ascii="Arial" w:hAnsi="Arial" w:cs="Arial"/>
          <w:b/>
          <w:bCs/>
          <w:i/>
          <w:sz w:val="21"/>
          <w:szCs w:val="21"/>
          <w:u w:val="single"/>
        </w:rPr>
        <w:t>OBLIGACIONES DE LAS ENTIDADES PÚBLICAS QUE TENGAN CARTERA A SU FAVOR</w:t>
      </w:r>
      <w:r w:rsidRPr="005601EA">
        <w:rPr>
          <w:rFonts w:ascii="Arial" w:hAnsi="Arial" w:cs="Arial"/>
          <w:b/>
          <w:bCs/>
          <w:i/>
          <w:sz w:val="21"/>
          <w:szCs w:val="21"/>
        </w:rPr>
        <w:t>.</w:t>
      </w:r>
      <w:bookmarkEnd w:id="1"/>
      <w:r w:rsidRPr="005601EA">
        <w:rPr>
          <w:rFonts w:ascii="Arial" w:hAnsi="Arial" w:cs="Arial"/>
          <w:b/>
          <w:bCs/>
          <w:i/>
          <w:sz w:val="21"/>
          <w:szCs w:val="21"/>
        </w:rPr>
        <w:t xml:space="preserve"> (…)</w:t>
      </w:r>
      <w:r w:rsidRPr="005601EA">
        <w:rPr>
          <w:rFonts w:ascii="Arial" w:hAnsi="Arial" w:cs="Arial"/>
          <w:i/>
          <w:sz w:val="21"/>
          <w:szCs w:val="21"/>
          <w:lang w:val="es-ES"/>
        </w:rPr>
        <w:t xml:space="preserve"> </w:t>
      </w:r>
    </w:p>
    <w:p w14:paraId="5A1D6CF2" w14:textId="77777777" w:rsidR="00DD5572" w:rsidRPr="005601EA" w:rsidRDefault="00DD5572" w:rsidP="00992031">
      <w:pPr>
        <w:spacing w:after="0" w:line="240" w:lineRule="auto"/>
        <w:ind w:left="397" w:right="397"/>
        <w:jc w:val="both"/>
        <w:rPr>
          <w:rFonts w:ascii="Arial" w:hAnsi="Arial" w:cs="Arial"/>
          <w:sz w:val="21"/>
          <w:szCs w:val="21"/>
          <w:lang w:val="es-ES"/>
        </w:rPr>
      </w:pPr>
      <w:r w:rsidRPr="005601EA">
        <w:rPr>
          <w:rFonts w:ascii="Arial" w:hAnsi="Arial" w:cs="Arial"/>
          <w:i/>
          <w:sz w:val="21"/>
          <w:szCs w:val="21"/>
          <w:lang w:val="es-ES"/>
        </w:rPr>
        <w:t>2°. Incluir en sus respectivos presupuestos de ingresos el monto total del recaudo sin deducción alguna</w:t>
      </w:r>
      <w:r w:rsidRPr="005601EA">
        <w:rPr>
          <w:rFonts w:ascii="Arial" w:hAnsi="Arial" w:cs="Arial"/>
          <w:sz w:val="21"/>
          <w:szCs w:val="21"/>
          <w:lang w:val="es-ES"/>
        </w:rPr>
        <w:t>.</w:t>
      </w:r>
    </w:p>
    <w:p w14:paraId="35E96717" w14:textId="77777777" w:rsidR="00DD5572" w:rsidRPr="005601EA" w:rsidRDefault="00DD5572" w:rsidP="00992031">
      <w:pPr>
        <w:spacing w:after="0" w:line="240" w:lineRule="auto"/>
        <w:ind w:left="397" w:right="397"/>
        <w:jc w:val="both"/>
        <w:rPr>
          <w:rFonts w:ascii="Arial" w:hAnsi="Arial" w:cs="Arial"/>
          <w:sz w:val="21"/>
          <w:szCs w:val="21"/>
          <w:lang w:val="es-ES"/>
        </w:rPr>
      </w:pPr>
      <w:r w:rsidRPr="005601EA">
        <w:rPr>
          <w:rFonts w:ascii="Arial" w:hAnsi="Arial" w:cs="Arial"/>
          <w:sz w:val="21"/>
          <w:szCs w:val="21"/>
          <w:lang w:val="es-ES"/>
        </w:rPr>
        <w:lastRenderedPageBreak/>
        <w:t>3°. (…)”.</w:t>
      </w:r>
    </w:p>
    <w:p w14:paraId="5A4422F2" w14:textId="77777777" w:rsidR="00DD5572" w:rsidRPr="005601EA" w:rsidRDefault="00DD5572" w:rsidP="00992031">
      <w:pPr>
        <w:spacing w:after="0" w:line="240" w:lineRule="auto"/>
        <w:ind w:right="333"/>
        <w:jc w:val="both"/>
        <w:rPr>
          <w:rFonts w:ascii="Arial" w:hAnsi="Arial" w:cs="Arial"/>
          <w:sz w:val="21"/>
          <w:szCs w:val="21"/>
          <w:lang w:val="es-ES"/>
        </w:rPr>
      </w:pPr>
    </w:p>
    <w:p w14:paraId="02FD8877" w14:textId="77777777" w:rsidR="00DD5572" w:rsidRPr="005601EA" w:rsidRDefault="00DD5572" w:rsidP="00992031">
      <w:pPr>
        <w:spacing w:after="0" w:line="240" w:lineRule="auto"/>
        <w:ind w:left="397" w:right="397"/>
        <w:jc w:val="both"/>
        <w:rPr>
          <w:rFonts w:ascii="Arial" w:hAnsi="Arial" w:cs="Arial"/>
          <w:sz w:val="21"/>
          <w:szCs w:val="21"/>
          <w:lang w:val="es-ES"/>
        </w:rPr>
      </w:pPr>
      <w:bookmarkStart w:id="2" w:name="5"/>
      <w:r w:rsidRPr="005601EA">
        <w:rPr>
          <w:rFonts w:ascii="Arial" w:hAnsi="Arial" w:cs="Arial"/>
          <w:i/>
          <w:sz w:val="21"/>
          <w:szCs w:val="21"/>
          <w:lang w:val="es-ES"/>
        </w:rPr>
        <w:t>“Art. 5°. FACULTAD DE COBRO COACTIVO Y PROCEDIMIENTO PARA LAS ENTIDADES PÚBLICAS.</w:t>
      </w:r>
      <w:bookmarkEnd w:id="2"/>
      <w:r w:rsidRPr="005601EA">
        <w:rPr>
          <w:rFonts w:ascii="Arial" w:hAnsi="Arial" w:cs="Arial"/>
          <w:i/>
          <w:sz w:val="21"/>
          <w:szCs w:val="21"/>
          <w:lang w:val="es-ES"/>
        </w:rPr>
        <w:t xml:space="preserve"> Las entidades públicas que de manera permanente tengan a su cargo el ejercicio de las actividades y funciones administrativas o la prestación de servicios del Estado colombiano y que en virtud de estas tengan que recaudar rentas o caudales públicos, del nivel nacional, territorial, incluidos los órganos autónomos y entidades con régimen especial otorgado por la Constitución Política, </w:t>
      </w:r>
      <w:r w:rsidRPr="005601EA">
        <w:rPr>
          <w:rFonts w:ascii="Arial" w:hAnsi="Arial" w:cs="Arial"/>
          <w:b/>
          <w:i/>
          <w:sz w:val="21"/>
          <w:szCs w:val="21"/>
          <w:u w:val="single"/>
          <w:lang w:val="es-ES"/>
        </w:rPr>
        <w:t>tienen jurisdicción coactiva para hacer efectivas las obligaciones exigibles a su favor</w:t>
      </w:r>
      <w:r w:rsidRPr="005601EA">
        <w:rPr>
          <w:rFonts w:ascii="Arial" w:hAnsi="Arial" w:cs="Arial"/>
          <w:i/>
          <w:sz w:val="21"/>
          <w:szCs w:val="21"/>
          <w:lang w:val="es-ES"/>
        </w:rPr>
        <w:t xml:space="preserve"> y, para estos efectos, deberán seguir el procedimiento descrito en el Estatuto Tributario</w:t>
      </w:r>
      <w:r w:rsidRPr="005601EA">
        <w:rPr>
          <w:rFonts w:ascii="Arial" w:hAnsi="Arial" w:cs="Arial"/>
          <w:sz w:val="21"/>
          <w:szCs w:val="21"/>
          <w:lang w:val="es-ES"/>
        </w:rPr>
        <w:t>.</w:t>
      </w:r>
    </w:p>
    <w:p w14:paraId="5368FBF2" w14:textId="77777777" w:rsidR="00DD5572" w:rsidRPr="005601EA" w:rsidRDefault="00DD5572" w:rsidP="00992031">
      <w:pPr>
        <w:spacing w:after="0" w:line="240" w:lineRule="auto"/>
        <w:ind w:left="397" w:right="397"/>
        <w:jc w:val="both"/>
        <w:rPr>
          <w:rFonts w:ascii="Arial" w:hAnsi="Arial" w:cs="Arial"/>
          <w:sz w:val="21"/>
          <w:szCs w:val="21"/>
          <w:lang w:val="es-ES"/>
        </w:rPr>
      </w:pPr>
      <w:r w:rsidRPr="005601EA">
        <w:rPr>
          <w:rFonts w:ascii="Arial" w:hAnsi="Arial" w:cs="Arial"/>
          <w:i/>
          <w:sz w:val="21"/>
          <w:szCs w:val="21"/>
          <w:lang w:val="es-ES"/>
        </w:rPr>
        <w:t xml:space="preserve">(…)”. </w:t>
      </w:r>
      <w:r w:rsidRPr="005601EA">
        <w:rPr>
          <w:rFonts w:ascii="Arial" w:hAnsi="Arial" w:cs="Arial"/>
          <w:sz w:val="21"/>
          <w:szCs w:val="21"/>
          <w:lang w:val="es-ES"/>
        </w:rPr>
        <w:t>(Negrilla y subraya agregadas al texto original de la norma).</w:t>
      </w:r>
    </w:p>
    <w:p w14:paraId="7D964E07" w14:textId="77777777" w:rsidR="00DD5572" w:rsidRPr="005601EA" w:rsidRDefault="00DD5572" w:rsidP="00992031">
      <w:pPr>
        <w:spacing w:after="0" w:line="240" w:lineRule="auto"/>
        <w:ind w:right="333"/>
        <w:jc w:val="both"/>
        <w:rPr>
          <w:rFonts w:ascii="Arial" w:hAnsi="Arial" w:cs="Arial"/>
          <w:sz w:val="21"/>
          <w:szCs w:val="21"/>
          <w:lang w:val="es-ES"/>
        </w:rPr>
      </w:pPr>
    </w:p>
    <w:p w14:paraId="0A3C4E98" w14:textId="77777777" w:rsidR="00DD5572" w:rsidRPr="005601EA" w:rsidRDefault="00DD5572" w:rsidP="00992031">
      <w:pPr>
        <w:spacing w:after="0" w:line="240" w:lineRule="auto"/>
        <w:ind w:right="333"/>
        <w:jc w:val="both"/>
        <w:rPr>
          <w:rFonts w:ascii="Arial" w:hAnsi="Arial" w:cs="Arial"/>
          <w:sz w:val="21"/>
          <w:szCs w:val="21"/>
          <w:lang w:val="es-ES"/>
        </w:rPr>
      </w:pPr>
      <w:r w:rsidRPr="005601EA">
        <w:rPr>
          <w:rFonts w:ascii="Arial" w:hAnsi="Arial" w:cs="Arial"/>
          <w:b/>
          <w:sz w:val="21"/>
          <w:szCs w:val="21"/>
          <w:lang w:val="es-ES"/>
        </w:rPr>
        <w:t>b)</w:t>
      </w:r>
      <w:r w:rsidRPr="005601EA">
        <w:rPr>
          <w:rFonts w:ascii="Arial" w:hAnsi="Arial" w:cs="Arial"/>
          <w:sz w:val="21"/>
          <w:szCs w:val="21"/>
          <w:lang w:val="es-ES"/>
        </w:rPr>
        <w:t xml:space="preserve"> La Ley 1437 de 2011, dispone en el inc. 1° del art. 98:</w:t>
      </w:r>
    </w:p>
    <w:p w14:paraId="469FCDFF" w14:textId="77777777" w:rsidR="00DD5572" w:rsidRPr="005601EA" w:rsidRDefault="00DD5572" w:rsidP="00992031">
      <w:pPr>
        <w:spacing w:after="0" w:line="240" w:lineRule="auto"/>
        <w:ind w:right="333"/>
        <w:jc w:val="both"/>
        <w:rPr>
          <w:rFonts w:ascii="Arial" w:hAnsi="Arial" w:cs="Arial"/>
          <w:sz w:val="21"/>
          <w:szCs w:val="21"/>
          <w:lang w:val="es-ES"/>
        </w:rPr>
      </w:pPr>
    </w:p>
    <w:p w14:paraId="7BAE92FD" w14:textId="77777777" w:rsidR="00DD5572" w:rsidRPr="005601EA" w:rsidRDefault="00DD5572" w:rsidP="00992031">
      <w:pPr>
        <w:spacing w:after="0" w:line="240" w:lineRule="auto"/>
        <w:ind w:left="397" w:right="397"/>
        <w:jc w:val="both"/>
        <w:rPr>
          <w:rFonts w:ascii="Arial" w:hAnsi="Arial" w:cs="Arial"/>
          <w:sz w:val="21"/>
          <w:szCs w:val="21"/>
          <w:lang w:val="es-ES"/>
        </w:rPr>
      </w:pPr>
      <w:bookmarkStart w:id="3" w:name="98"/>
      <w:r w:rsidRPr="005601EA">
        <w:rPr>
          <w:rFonts w:ascii="Arial" w:hAnsi="Arial" w:cs="Arial"/>
          <w:i/>
          <w:sz w:val="21"/>
          <w:szCs w:val="21"/>
          <w:lang w:val="es-ES"/>
        </w:rPr>
        <w:t>“Art. 98. DEBER DE RECAUDO Y PRERROGATIVA DEL COBRO COACTIVO.</w:t>
      </w:r>
      <w:bookmarkEnd w:id="3"/>
      <w:r w:rsidRPr="005601EA">
        <w:rPr>
          <w:rFonts w:ascii="Arial" w:hAnsi="Arial" w:cs="Arial"/>
          <w:i/>
          <w:sz w:val="21"/>
          <w:szCs w:val="21"/>
          <w:lang w:val="es-ES"/>
        </w:rPr>
        <w:t xml:space="preserve"> Las entidades públicas definidas en el parágrafo del artículo </w:t>
      </w:r>
      <w:hyperlink r:id="rId10" w:anchor="104" w:history="1">
        <w:r w:rsidRPr="005601EA">
          <w:rPr>
            <w:rFonts w:ascii="Arial" w:hAnsi="Arial" w:cs="Arial"/>
            <w:i/>
            <w:sz w:val="21"/>
            <w:szCs w:val="21"/>
            <w:lang w:val="es-ES"/>
          </w:rPr>
          <w:t>104</w:t>
        </w:r>
      </w:hyperlink>
      <w:r w:rsidRPr="005601EA">
        <w:rPr>
          <w:rFonts w:ascii="Arial" w:hAnsi="Arial" w:cs="Arial"/>
          <w:i/>
          <w:sz w:val="21"/>
          <w:szCs w:val="21"/>
          <w:lang w:val="es-ES"/>
        </w:rPr>
        <w:t xml:space="preserve"> </w:t>
      </w:r>
      <w:r w:rsidRPr="005601EA">
        <w:rPr>
          <w:rFonts w:ascii="Arial" w:hAnsi="Arial" w:cs="Arial"/>
          <w:b/>
          <w:i/>
          <w:sz w:val="21"/>
          <w:szCs w:val="21"/>
          <w:u w:val="single"/>
          <w:lang w:val="es-ES"/>
        </w:rPr>
        <w:t>deberán recaudar las obligaciones creadas en su favor</w:t>
      </w:r>
      <w:r w:rsidRPr="005601EA">
        <w:rPr>
          <w:rFonts w:ascii="Arial" w:hAnsi="Arial" w:cs="Arial"/>
          <w:i/>
          <w:sz w:val="21"/>
          <w:szCs w:val="21"/>
          <w:lang w:val="es-ES"/>
        </w:rPr>
        <w:t xml:space="preserve">, que consten en documentos que presten mérito ejecutivo de conformidad con este Código. Para tal efecto, están revestidas de la prerrogativa de cobro coactivo o podrán acudir ante los jueces competentes”. </w:t>
      </w:r>
      <w:r w:rsidRPr="005601EA">
        <w:rPr>
          <w:rFonts w:ascii="Arial" w:hAnsi="Arial" w:cs="Arial"/>
          <w:sz w:val="21"/>
          <w:szCs w:val="21"/>
          <w:lang w:val="es-ES"/>
        </w:rPr>
        <w:t>(Negrilla y subraya agregadas al texto original de la norma).</w:t>
      </w:r>
    </w:p>
    <w:p w14:paraId="7349EE91" w14:textId="77777777" w:rsidR="00DD5572" w:rsidRPr="005601EA" w:rsidRDefault="00DD5572" w:rsidP="00992031">
      <w:pPr>
        <w:spacing w:after="0" w:line="240" w:lineRule="auto"/>
        <w:ind w:right="333"/>
        <w:jc w:val="both"/>
        <w:rPr>
          <w:rFonts w:ascii="Arial" w:hAnsi="Arial" w:cs="Arial"/>
          <w:sz w:val="21"/>
          <w:szCs w:val="21"/>
          <w:lang w:val="es-ES"/>
        </w:rPr>
      </w:pPr>
    </w:p>
    <w:p w14:paraId="765217D9" w14:textId="77777777" w:rsidR="00DD5572" w:rsidRPr="005601EA" w:rsidRDefault="00DD5572" w:rsidP="00992031">
      <w:pPr>
        <w:spacing w:after="0" w:line="240" w:lineRule="auto"/>
        <w:jc w:val="both"/>
        <w:rPr>
          <w:rFonts w:ascii="Arial" w:hAnsi="Arial" w:cs="Arial"/>
          <w:sz w:val="21"/>
          <w:szCs w:val="21"/>
          <w:lang w:val="es-ES"/>
        </w:rPr>
      </w:pPr>
      <w:r w:rsidRPr="005601EA">
        <w:rPr>
          <w:rFonts w:ascii="Arial" w:hAnsi="Arial" w:cs="Arial"/>
          <w:sz w:val="21"/>
          <w:szCs w:val="21"/>
          <w:lang w:val="es-ES"/>
        </w:rPr>
        <w:t xml:space="preserve">Del texto de las normas citadas, resulta claro, que la Rama Judicial solo está facultada para cobrar cartera a su favor, siguiendo el procedimiento regulado en primer orden, en el Estatuto Tributario, acorde lo </w:t>
      </w:r>
      <w:proofErr w:type="spellStart"/>
      <w:r w:rsidRPr="005601EA">
        <w:rPr>
          <w:rFonts w:ascii="Arial" w:hAnsi="Arial" w:cs="Arial"/>
          <w:sz w:val="21"/>
          <w:szCs w:val="21"/>
          <w:lang w:val="es-ES"/>
        </w:rPr>
        <w:t>ritúan</w:t>
      </w:r>
      <w:proofErr w:type="spellEnd"/>
      <w:r w:rsidRPr="005601EA">
        <w:rPr>
          <w:rFonts w:ascii="Arial" w:hAnsi="Arial" w:cs="Arial"/>
          <w:sz w:val="21"/>
          <w:szCs w:val="21"/>
          <w:lang w:val="es-ES"/>
        </w:rPr>
        <w:t xml:space="preserve"> los artículos 2° y 5° de la Ley 1066 de 2006, su Decreto Reglamentario 4473 de 2006 y 98 a 101 de la Ley 1437 de 2011, normas vigentes de carácter procedimental, de orden público, y por ende, de obligatorio cumplimiento, tal como se indica en el artículo 13 del Código General del Proceso -Ley 1564 de 2012-.</w:t>
      </w:r>
    </w:p>
    <w:p w14:paraId="4669E4AE" w14:textId="77777777" w:rsidR="00DD5572" w:rsidRPr="005601EA" w:rsidRDefault="00DD5572" w:rsidP="00992031">
      <w:pPr>
        <w:spacing w:after="0" w:line="240" w:lineRule="auto"/>
        <w:ind w:right="333"/>
        <w:jc w:val="both"/>
        <w:rPr>
          <w:rFonts w:ascii="Arial" w:hAnsi="Arial" w:cs="Arial"/>
          <w:sz w:val="21"/>
          <w:szCs w:val="21"/>
          <w:lang w:val="es-ES"/>
        </w:rPr>
      </w:pPr>
    </w:p>
    <w:p w14:paraId="6776C2FF" w14:textId="77777777" w:rsidR="00DD5572" w:rsidRPr="005601EA" w:rsidRDefault="00DD5572" w:rsidP="00992031">
      <w:pPr>
        <w:spacing w:after="0" w:line="240" w:lineRule="auto"/>
        <w:jc w:val="both"/>
        <w:rPr>
          <w:rFonts w:ascii="Arial" w:hAnsi="Arial" w:cs="Arial"/>
          <w:sz w:val="21"/>
          <w:szCs w:val="21"/>
          <w:lang w:val="es-ES"/>
        </w:rPr>
      </w:pPr>
      <w:r w:rsidRPr="005601EA">
        <w:rPr>
          <w:rFonts w:ascii="Arial" w:hAnsi="Arial" w:cs="Arial"/>
          <w:sz w:val="21"/>
          <w:szCs w:val="21"/>
          <w:lang w:val="es-ES"/>
        </w:rPr>
        <w:t xml:space="preserve">De gestionar las 24 Oficinas de Cobro Coactivo de la Rama Judicial, el recaudo de las multas penales, con destino o a favor del Ministerio de Justicia y del Derecho, tal actuar equivaldría a que la Rama Judicial, asumiría obligaciones y funciones que competen a la Rama Ejecutiva. Adicional a que los procesos de cobro que se adelantarían </w:t>
      </w:r>
      <w:r w:rsidRPr="005601EA">
        <w:rPr>
          <w:rFonts w:ascii="Arial" w:hAnsi="Arial" w:cs="Arial"/>
          <w:i/>
          <w:sz w:val="21"/>
          <w:szCs w:val="21"/>
          <w:lang w:val="es-ES"/>
        </w:rPr>
        <w:t xml:space="preserve">contra </w:t>
      </w:r>
      <w:proofErr w:type="spellStart"/>
      <w:r w:rsidRPr="005601EA">
        <w:rPr>
          <w:rFonts w:ascii="Arial" w:hAnsi="Arial" w:cs="Arial"/>
          <w:i/>
          <w:sz w:val="21"/>
          <w:szCs w:val="21"/>
          <w:lang w:val="es-ES"/>
        </w:rPr>
        <w:t>legem</w:t>
      </w:r>
      <w:proofErr w:type="spellEnd"/>
      <w:r w:rsidRPr="005601EA">
        <w:rPr>
          <w:rFonts w:ascii="Arial" w:hAnsi="Arial" w:cs="Arial"/>
          <w:sz w:val="21"/>
          <w:szCs w:val="21"/>
          <w:lang w:val="es-ES"/>
        </w:rPr>
        <w:t xml:space="preserve">, estarían viciados de nulidad absoluta, porque la “falta de competencia” es </w:t>
      </w:r>
      <w:proofErr w:type="spellStart"/>
      <w:r w:rsidRPr="005601EA">
        <w:rPr>
          <w:rFonts w:ascii="Arial" w:hAnsi="Arial" w:cs="Arial"/>
          <w:sz w:val="21"/>
          <w:szCs w:val="21"/>
          <w:lang w:val="es-ES"/>
        </w:rPr>
        <w:t>insaneable</w:t>
      </w:r>
      <w:proofErr w:type="spellEnd"/>
      <w:r w:rsidRPr="005601EA">
        <w:rPr>
          <w:rFonts w:ascii="Arial" w:hAnsi="Arial" w:cs="Arial"/>
          <w:sz w:val="21"/>
          <w:szCs w:val="21"/>
          <w:lang w:val="es-ES"/>
        </w:rPr>
        <w:t xml:space="preserve">, pues se estaría desconociendo una de las garantías del debido proceso, atinente a que los trámites y procesos solamente pueden adelantarse por el juez natural, investido para ejercer competencia y jurisdicción en determinado asunto, teniendo en cuenta que, lo que determina la competencia para impulsar los procesos de cobro coactivo, obedece precisamente a que el beneficiario de los recursos, coincida con el responsable de hacer la gestión de cobro de dichas acreencias. </w:t>
      </w:r>
    </w:p>
    <w:p w14:paraId="52239E08" w14:textId="77777777" w:rsidR="00DD5572" w:rsidRPr="005601EA" w:rsidRDefault="00DD5572" w:rsidP="00992031">
      <w:pPr>
        <w:pStyle w:val="Cuerpodeltexto0"/>
        <w:shd w:val="clear" w:color="auto" w:fill="auto"/>
        <w:spacing w:after="0" w:line="240" w:lineRule="auto"/>
        <w:ind w:firstLine="0"/>
        <w:jc w:val="both"/>
        <w:rPr>
          <w:color w:val="000000"/>
          <w:sz w:val="21"/>
          <w:szCs w:val="21"/>
          <w:lang w:eastAsia="es-CO"/>
        </w:rPr>
      </w:pPr>
    </w:p>
    <w:p w14:paraId="3B727A3D" w14:textId="77777777" w:rsidR="00DD5572" w:rsidRPr="005601EA" w:rsidRDefault="00DD5572" w:rsidP="00992031">
      <w:pPr>
        <w:pStyle w:val="Cuerpodeltexto0"/>
        <w:shd w:val="clear" w:color="auto" w:fill="auto"/>
        <w:spacing w:after="0" w:line="240" w:lineRule="auto"/>
        <w:ind w:firstLine="0"/>
        <w:jc w:val="both"/>
        <w:rPr>
          <w:color w:val="000000"/>
          <w:sz w:val="21"/>
          <w:szCs w:val="21"/>
        </w:rPr>
      </w:pPr>
      <w:r w:rsidRPr="005601EA">
        <w:rPr>
          <w:color w:val="000000"/>
          <w:sz w:val="21"/>
          <w:szCs w:val="21"/>
          <w:lang w:eastAsia="es-CO"/>
        </w:rPr>
        <w:t>En consonancia con lo precedente, se remiten para el correspondiente cobro por parte de ese Ministerio, los siguientes títulos ejecutivos, constitutivos de multas penales impuestas en aplicación del Código Penal</w:t>
      </w:r>
      <w:r w:rsidRPr="005601EA">
        <w:rPr>
          <w:rStyle w:val="Refdenotaalpie"/>
          <w:color w:val="000000"/>
          <w:sz w:val="21"/>
          <w:szCs w:val="21"/>
          <w:lang w:eastAsia="es-CO"/>
        </w:rPr>
        <w:footnoteReference w:id="1"/>
      </w:r>
      <w:r w:rsidRPr="005601EA">
        <w:rPr>
          <w:color w:val="000000"/>
          <w:sz w:val="21"/>
          <w:szCs w:val="21"/>
          <w:lang w:eastAsia="es-CO"/>
        </w:rPr>
        <w:t>:</w:t>
      </w:r>
    </w:p>
    <w:p w14:paraId="31C84E21" w14:textId="77777777" w:rsidR="00DD5572" w:rsidRPr="005601EA" w:rsidRDefault="00DD5572" w:rsidP="00992031">
      <w:pPr>
        <w:pStyle w:val="Textoindependiente"/>
        <w:tabs>
          <w:tab w:val="left" w:pos="0"/>
        </w:tabs>
        <w:ind w:right="0"/>
        <w:rPr>
          <w:color w:val="000000"/>
          <w:sz w:val="21"/>
          <w:szCs w:val="21"/>
          <w:lang w:val="es-CO"/>
        </w:rPr>
      </w:pPr>
    </w:p>
    <w:tbl>
      <w:tblPr>
        <w:tblW w:w="44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3302"/>
        <w:gridCol w:w="3219"/>
        <w:gridCol w:w="1921"/>
      </w:tblGrid>
      <w:tr w:rsidR="003D1C51" w:rsidRPr="005601EA" w14:paraId="5C917C7E" w14:textId="77777777" w:rsidTr="003D1C51">
        <w:trPr>
          <w:trHeight w:val="398"/>
        </w:trPr>
        <w:tc>
          <w:tcPr>
            <w:tcW w:w="236" w:type="pct"/>
            <w:shd w:val="clear" w:color="auto" w:fill="auto"/>
            <w:noWrap/>
            <w:vAlign w:val="bottom"/>
            <w:hideMark/>
          </w:tcPr>
          <w:p w14:paraId="6C6A04E7" w14:textId="77777777" w:rsidR="003D1C51" w:rsidRPr="005601EA" w:rsidRDefault="003D1C51" w:rsidP="00D83853">
            <w:pPr>
              <w:spacing w:after="0" w:line="240" w:lineRule="auto"/>
              <w:rPr>
                <w:rFonts w:ascii="Arial" w:hAnsi="Arial" w:cs="Arial"/>
                <w:b/>
                <w:iCs/>
                <w:sz w:val="21"/>
                <w:szCs w:val="21"/>
              </w:rPr>
            </w:pPr>
            <w:proofErr w:type="spellStart"/>
            <w:r w:rsidRPr="005601EA">
              <w:rPr>
                <w:rFonts w:ascii="Arial" w:hAnsi="Arial" w:cs="Arial"/>
                <w:b/>
                <w:iCs/>
                <w:sz w:val="21"/>
                <w:szCs w:val="21"/>
              </w:rPr>
              <w:t>n°</w:t>
            </w:r>
            <w:proofErr w:type="spellEnd"/>
          </w:p>
        </w:tc>
        <w:tc>
          <w:tcPr>
            <w:tcW w:w="1891" w:type="pct"/>
            <w:shd w:val="clear" w:color="auto" w:fill="auto"/>
            <w:noWrap/>
            <w:vAlign w:val="center"/>
            <w:hideMark/>
          </w:tcPr>
          <w:p w14:paraId="3A4B059C" w14:textId="77777777" w:rsidR="003D1C51" w:rsidRPr="005601EA" w:rsidRDefault="003D1C51" w:rsidP="003D1C51">
            <w:pPr>
              <w:spacing w:after="0" w:line="240" w:lineRule="auto"/>
              <w:jc w:val="center"/>
              <w:rPr>
                <w:rFonts w:ascii="Arial" w:hAnsi="Arial" w:cs="Arial"/>
                <w:b/>
                <w:iCs/>
                <w:sz w:val="21"/>
                <w:szCs w:val="21"/>
              </w:rPr>
            </w:pPr>
            <w:r w:rsidRPr="005601EA">
              <w:rPr>
                <w:rFonts w:ascii="Arial" w:hAnsi="Arial" w:cs="Arial"/>
                <w:b/>
                <w:iCs/>
                <w:sz w:val="21"/>
                <w:szCs w:val="21"/>
              </w:rPr>
              <w:t>Nombre obligado</w:t>
            </w:r>
          </w:p>
        </w:tc>
        <w:tc>
          <w:tcPr>
            <w:tcW w:w="1843" w:type="pct"/>
            <w:vAlign w:val="center"/>
          </w:tcPr>
          <w:p w14:paraId="7FE93B89" w14:textId="401200C4" w:rsidR="003D1C51" w:rsidRPr="005601EA" w:rsidRDefault="003D1C51" w:rsidP="003D1C51">
            <w:pPr>
              <w:spacing w:after="0" w:line="240" w:lineRule="auto"/>
              <w:jc w:val="center"/>
              <w:rPr>
                <w:rFonts w:ascii="Arial" w:hAnsi="Arial" w:cs="Arial"/>
                <w:b/>
                <w:iCs/>
                <w:sz w:val="21"/>
                <w:szCs w:val="21"/>
              </w:rPr>
            </w:pPr>
            <w:r w:rsidRPr="005601EA">
              <w:rPr>
                <w:rFonts w:ascii="Arial" w:hAnsi="Arial" w:cs="Arial"/>
                <w:b/>
                <w:iCs/>
                <w:sz w:val="21"/>
                <w:szCs w:val="21"/>
              </w:rPr>
              <w:t>Identificación</w:t>
            </w:r>
          </w:p>
        </w:tc>
        <w:tc>
          <w:tcPr>
            <w:tcW w:w="1030" w:type="pct"/>
            <w:shd w:val="clear" w:color="auto" w:fill="auto"/>
            <w:noWrap/>
            <w:vAlign w:val="center"/>
            <w:hideMark/>
          </w:tcPr>
          <w:p w14:paraId="6B22F687" w14:textId="45906EA0" w:rsidR="003D1C51" w:rsidRPr="005601EA" w:rsidRDefault="003D1C51" w:rsidP="003D1C51">
            <w:pPr>
              <w:spacing w:after="0" w:line="240" w:lineRule="auto"/>
              <w:jc w:val="center"/>
              <w:rPr>
                <w:rFonts w:ascii="Arial" w:hAnsi="Arial" w:cs="Arial"/>
                <w:b/>
                <w:iCs/>
                <w:sz w:val="21"/>
                <w:szCs w:val="21"/>
              </w:rPr>
            </w:pPr>
            <w:r w:rsidRPr="005601EA">
              <w:rPr>
                <w:rFonts w:ascii="Arial" w:hAnsi="Arial" w:cs="Arial"/>
                <w:b/>
                <w:iCs/>
                <w:sz w:val="21"/>
                <w:szCs w:val="21"/>
              </w:rPr>
              <w:t>Código Único Interno</w:t>
            </w:r>
          </w:p>
        </w:tc>
      </w:tr>
      <w:tr w:rsidR="003D1C51" w:rsidRPr="005601EA" w14:paraId="2884EF7F" w14:textId="77777777" w:rsidTr="003D1C51">
        <w:trPr>
          <w:trHeight w:val="398"/>
        </w:trPr>
        <w:tc>
          <w:tcPr>
            <w:tcW w:w="236" w:type="pct"/>
            <w:shd w:val="clear" w:color="auto" w:fill="auto"/>
            <w:noWrap/>
            <w:vAlign w:val="bottom"/>
            <w:hideMark/>
          </w:tcPr>
          <w:p w14:paraId="5461D420" w14:textId="77777777" w:rsidR="003D1C51" w:rsidRPr="005601EA" w:rsidRDefault="003D1C51" w:rsidP="00D83853">
            <w:pPr>
              <w:spacing w:after="0" w:line="240" w:lineRule="auto"/>
              <w:rPr>
                <w:rFonts w:ascii="Arial" w:hAnsi="Arial" w:cs="Arial"/>
                <w:iCs/>
                <w:sz w:val="21"/>
                <w:szCs w:val="21"/>
              </w:rPr>
            </w:pPr>
            <w:r w:rsidRPr="005601EA">
              <w:rPr>
                <w:rFonts w:ascii="Arial" w:hAnsi="Arial" w:cs="Arial"/>
                <w:iCs/>
                <w:sz w:val="21"/>
                <w:szCs w:val="21"/>
              </w:rPr>
              <w:t>1</w:t>
            </w:r>
          </w:p>
        </w:tc>
        <w:tc>
          <w:tcPr>
            <w:tcW w:w="1891" w:type="pct"/>
            <w:shd w:val="clear" w:color="auto" w:fill="auto"/>
            <w:noWrap/>
            <w:vAlign w:val="center"/>
          </w:tcPr>
          <w:p w14:paraId="4813AE1C" w14:textId="5B83ABCB" w:rsidR="003D1C51" w:rsidRPr="005601EA" w:rsidRDefault="003D1C51" w:rsidP="00D83853">
            <w:pPr>
              <w:spacing w:after="0" w:line="240" w:lineRule="auto"/>
              <w:rPr>
                <w:rFonts w:ascii="Arial" w:hAnsi="Arial" w:cs="Arial"/>
                <w:color w:val="000000"/>
                <w:sz w:val="21"/>
                <w:szCs w:val="21"/>
                <w:highlight w:val="yellow"/>
                <w:lang w:val="es-MX" w:eastAsia="es-MX"/>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TableStart:Sancionados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TableStart:Sancionados</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Sancionado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Sancionado</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tc>
        <w:tc>
          <w:tcPr>
            <w:tcW w:w="1843" w:type="pct"/>
          </w:tcPr>
          <w:p w14:paraId="145D7D1A" w14:textId="4618B464" w:rsidR="003D1C51" w:rsidRPr="005601EA" w:rsidRDefault="003D1C51" w:rsidP="00D83853">
            <w:pPr>
              <w:spacing w:after="0" w:line="240" w:lineRule="auto"/>
              <w:jc w:val="center"/>
              <w:rPr>
                <w:rFonts w:ascii="Arial" w:eastAsia="Arial" w:hAnsi="Arial" w:cs="Arial"/>
                <w:color w:val="FF0000"/>
                <w:sz w:val="21"/>
                <w:szCs w:val="21"/>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Documento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Documento</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TableEnd:Sancionados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TableEnd:Sancionados</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tc>
        <w:tc>
          <w:tcPr>
            <w:tcW w:w="1030" w:type="pct"/>
            <w:shd w:val="clear" w:color="auto" w:fill="auto"/>
            <w:noWrap/>
            <w:vAlign w:val="center"/>
          </w:tcPr>
          <w:p w14:paraId="360B43E3" w14:textId="29FDC11F" w:rsidR="003D1C51" w:rsidRPr="005601EA" w:rsidRDefault="003D1C51" w:rsidP="00D83853">
            <w:pPr>
              <w:spacing w:after="0" w:line="240" w:lineRule="auto"/>
              <w:jc w:val="center"/>
              <w:rPr>
                <w:rFonts w:ascii="Arial" w:hAnsi="Arial" w:cs="Arial"/>
                <w:color w:val="000000"/>
                <w:sz w:val="21"/>
                <w:szCs w:val="21"/>
                <w:highlight w:val="yellow"/>
                <w:lang w:val="es-MX" w:eastAsia="es-MX"/>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CUI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CUI</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tc>
      </w:tr>
      <w:tr w:rsidR="003D1C51" w:rsidRPr="005601EA" w14:paraId="1346479A" w14:textId="77777777" w:rsidTr="003D1C51">
        <w:trPr>
          <w:trHeight w:val="398"/>
        </w:trPr>
        <w:tc>
          <w:tcPr>
            <w:tcW w:w="236" w:type="pct"/>
            <w:shd w:val="clear" w:color="auto" w:fill="auto"/>
            <w:noWrap/>
            <w:vAlign w:val="bottom"/>
          </w:tcPr>
          <w:p w14:paraId="0EE4B2BB" w14:textId="77777777" w:rsidR="003D1C51" w:rsidRPr="005601EA" w:rsidRDefault="003D1C51" w:rsidP="00992031">
            <w:pPr>
              <w:spacing w:after="0" w:line="240" w:lineRule="auto"/>
              <w:rPr>
                <w:rFonts w:ascii="Arial" w:hAnsi="Arial" w:cs="Arial"/>
                <w:iCs/>
                <w:sz w:val="21"/>
                <w:szCs w:val="21"/>
              </w:rPr>
            </w:pPr>
            <w:r w:rsidRPr="005601EA">
              <w:rPr>
                <w:rFonts w:ascii="Arial" w:hAnsi="Arial" w:cs="Arial"/>
                <w:iCs/>
                <w:sz w:val="21"/>
                <w:szCs w:val="21"/>
              </w:rPr>
              <w:t>2</w:t>
            </w:r>
          </w:p>
        </w:tc>
        <w:tc>
          <w:tcPr>
            <w:tcW w:w="1891" w:type="pct"/>
            <w:shd w:val="clear" w:color="auto" w:fill="auto"/>
            <w:noWrap/>
            <w:vAlign w:val="center"/>
          </w:tcPr>
          <w:p w14:paraId="76A9705E" w14:textId="77777777" w:rsidR="003D1C51" w:rsidRPr="005601EA" w:rsidRDefault="003D1C51" w:rsidP="00992031">
            <w:pPr>
              <w:spacing w:after="0" w:line="240" w:lineRule="auto"/>
              <w:rPr>
                <w:rFonts w:ascii="Arial" w:hAnsi="Arial" w:cs="Arial"/>
                <w:color w:val="000000"/>
                <w:sz w:val="21"/>
                <w:szCs w:val="21"/>
                <w:highlight w:val="yellow"/>
              </w:rPr>
            </w:pPr>
          </w:p>
        </w:tc>
        <w:tc>
          <w:tcPr>
            <w:tcW w:w="1843" w:type="pct"/>
          </w:tcPr>
          <w:p w14:paraId="2FDE8539" w14:textId="77777777" w:rsidR="003D1C51" w:rsidRPr="005601EA" w:rsidRDefault="003D1C51" w:rsidP="00992031">
            <w:pPr>
              <w:spacing w:after="0" w:line="240" w:lineRule="auto"/>
              <w:jc w:val="center"/>
              <w:rPr>
                <w:rFonts w:ascii="Arial" w:hAnsi="Arial" w:cs="Arial"/>
                <w:color w:val="000000"/>
                <w:sz w:val="21"/>
                <w:szCs w:val="21"/>
                <w:highlight w:val="yellow"/>
              </w:rPr>
            </w:pPr>
          </w:p>
        </w:tc>
        <w:tc>
          <w:tcPr>
            <w:tcW w:w="1030" w:type="pct"/>
            <w:shd w:val="clear" w:color="auto" w:fill="auto"/>
            <w:noWrap/>
            <w:vAlign w:val="center"/>
          </w:tcPr>
          <w:p w14:paraId="5D48CE71" w14:textId="6195189F" w:rsidR="003D1C51" w:rsidRPr="005601EA" w:rsidRDefault="003D1C51" w:rsidP="00992031">
            <w:pPr>
              <w:spacing w:after="0" w:line="240" w:lineRule="auto"/>
              <w:jc w:val="center"/>
              <w:rPr>
                <w:rFonts w:ascii="Arial" w:hAnsi="Arial" w:cs="Arial"/>
                <w:color w:val="000000"/>
                <w:sz w:val="21"/>
                <w:szCs w:val="21"/>
                <w:highlight w:val="yellow"/>
              </w:rPr>
            </w:pPr>
          </w:p>
        </w:tc>
      </w:tr>
      <w:tr w:rsidR="003D1C51" w:rsidRPr="005601EA" w14:paraId="32CFECA4" w14:textId="77777777" w:rsidTr="003D1C51">
        <w:trPr>
          <w:trHeight w:val="398"/>
        </w:trPr>
        <w:tc>
          <w:tcPr>
            <w:tcW w:w="236" w:type="pct"/>
            <w:shd w:val="clear" w:color="auto" w:fill="auto"/>
            <w:noWrap/>
            <w:vAlign w:val="bottom"/>
          </w:tcPr>
          <w:p w14:paraId="0A35AB27" w14:textId="77777777" w:rsidR="003D1C51" w:rsidRPr="005601EA" w:rsidRDefault="003D1C51" w:rsidP="00992031">
            <w:pPr>
              <w:spacing w:after="0" w:line="240" w:lineRule="auto"/>
              <w:rPr>
                <w:rFonts w:ascii="Arial" w:hAnsi="Arial" w:cs="Arial"/>
                <w:iCs/>
                <w:sz w:val="21"/>
                <w:szCs w:val="21"/>
              </w:rPr>
            </w:pPr>
            <w:r w:rsidRPr="005601EA">
              <w:rPr>
                <w:rFonts w:ascii="Arial" w:hAnsi="Arial" w:cs="Arial"/>
                <w:iCs/>
                <w:sz w:val="21"/>
                <w:szCs w:val="21"/>
              </w:rPr>
              <w:t>3</w:t>
            </w:r>
          </w:p>
        </w:tc>
        <w:tc>
          <w:tcPr>
            <w:tcW w:w="1891" w:type="pct"/>
            <w:shd w:val="clear" w:color="auto" w:fill="auto"/>
            <w:noWrap/>
            <w:vAlign w:val="center"/>
          </w:tcPr>
          <w:p w14:paraId="47F3A03B" w14:textId="77777777" w:rsidR="003D1C51" w:rsidRPr="005601EA" w:rsidRDefault="003D1C51" w:rsidP="00992031">
            <w:pPr>
              <w:spacing w:after="0" w:line="240" w:lineRule="auto"/>
              <w:rPr>
                <w:rFonts w:ascii="Arial" w:hAnsi="Arial" w:cs="Arial"/>
                <w:color w:val="000000"/>
                <w:sz w:val="21"/>
                <w:szCs w:val="21"/>
                <w:highlight w:val="yellow"/>
              </w:rPr>
            </w:pPr>
          </w:p>
        </w:tc>
        <w:tc>
          <w:tcPr>
            <w:tcW w:w="1843" w:type="pct"/>
          </w:tcPr>
          <w:p w14:paraId="346D92A6" w14:textId="77777777" w:rsidR="003D1C51" w:rsidRPr="005601EA" w:rsidRDefault="003D1C51" w:rsidP="00992031">
            <w:pPr>
              <w:spacing w:after="0" w:line="240" w:lineRule="auto"/>
              <w:jc w:val="center"/>
              <w:rPr>
                <w:rFonts w:ascii="Arial" w:hAnsi="Arial" w:cs="Arial"/>
                <w:color w:val="000000"/>
                <w:sz w:val="21"/>
                <w:szCs w:val="21"/>
                <w:highlight w:val="yellow"/>
              </w:rPr>
            </w:pPr>
          </w:p>
        </w:tc>
        <w:tc>
          <w:tcPr>
            <w:tcW w:w="1030" w:type="pct"/>
            <w:shd w:val="clear" w:color="auto" w:fill="auto"/>
            <w:noWrap/>
            <w:vAlign w:val="center"/>
          </w:tcPr>
          <w:p w14:paraId="6856BF96" w14:textId="06A9A00C" w:rsidR="003D1C51" w:rsidRPr="005601EA" w:rsidRDefault="003D1C51" w:rsidP="00992031">
            <w:pPr>
              <w:spacing w:after="0" w:line="240" w:lineRule="auto"/>
              <w:jc w:val="center"/>
              <w:rPr>
                <w:rFonts w:ascii="Arial" w:hAnsi="Arial" w:cs="Arial"/>
                <w:color w:val="000000"/>
                <w:sz w:val="21"/>
                <w:szCs w:val="21"/>
                <w:highlight w:val="yellow"/>
              </w:rPr>
            </w:pPr>
          </w:p>
        </w:tc>
      </w:tr>
    </w:tbl>
    <w:p w14:paraId="6DB6121D" w14:textId="77777777" w:rsidR="00DD5572" w:rsidRPr="005601EA" w:rsidRDefault="00DD5572" w:rsidP="00992031">
      <w:pPr>
        <w:spacing w:after="0" w:line="240" w:lineRule="auto"/>
        <w:jc w:val="both"/>
        <w:rPr>
          <w:rFonts w:ascii="Arial" w:hAnsi="Arial" w:cs="Arial"/>
          <w:iCs/>
          <w:sz w:val="21"/>
          <w:szCs w:val="21"/>
        </w:rPr>
      </w:pPr>
    </w:p>
    <w:p w14:paraId="7CB96CF6" w14:textId="61C69803" w:rsidR="00DD5572" w:rsidRDefault="00DD5572" w:rsidP="00992031">
      <w:pPr>
        <w:spacing w:after="0" w:line="240" w:lineRule="auto"/>
        <w:jc w:val="both"/>
        <w:rPr>
          <w:rFonts w:ascii="Arial" w:eastAsia="Times New Roman" w:hAnsi="Arial" w:cs="Arial"/>
          <w:sz w:val="21"/>
          <w:szCs w:val="21"/>
          <w:lang w:eastAsia="es-CO"/>
        </w:rPr>
      </w:pPr>
      <w:r w:rsidRPr="005601EA">
        <w:rPr>
          <w:rFonts w:ascii="Arial" w:hAnsi="Arial" w:cs="Arial"/>
          <w:iCs/>
          <w:sz w:val="21"/>
          <w:szCs w:val="21"/>
        </w:rPr>
        <w:t>Cualquier información adicional que se requiera con relación a esta remisión, por favor comunicarse al número telefónico</w:t>
      </w:r>
      <w:r w:rsidR="0071326E" w:rsidRPr="005601EA">
        <w:rPr>
          <w:rFonts w:ascii="Arial" w:hAnsi="Arial" w:cs="Arial"/>
          <w:iCs/>
          <w:sz w:val="21"/>
          <w:szCs w:val="21"/>
        </w:rPr>
        <w:t xml:space="preserve"> </w:t>
      </w:r>
      <w:r w:rsidR="005601EA" w:rsidRPr="005601EA">
        <w:rPr>
          <w:rFonts w:ascii="Arial" w:hAnsi="Arial" w:cs="Arial"/>
          <w:iCs/>
          <w:sz w:val="21"/>
          <w:szCs w:val="21"/>
        </w:rPr>
        <w:fldChar w:fldCharType="begin"/>
      </w:r>
      <w:r w:rsidR="005601EA" w:rsidRPr="005601EA">
        <w:rPr>
          <w:rFonts w:ascii="Arial" w:hAnsi="Arial" w:cs="Arial"/>
          <w:iCs/>
          <w:sz w:val="21"/>
          <w:szCs w:val="21"/>
        </w:rPr>
        <w:instrText xml:space="preserve"> MERGEFIELD  SeccionalTelefono  \* MERGEFORMAT </w:instrText>
      </w:r>
      <w:r w:rsidR="005601EA" w:rsidRPr="005601EA">
        <w:rPr>
          <w:rFonts w:ascii="Arial" w:hAnsi="Arial" w:cs="Arial"/>
          <w:iCs/>
          <w:sz w:val="21"/>
          <w:szCs w:val="21"/>
        </w:rPr>
        <w:fldChar w:fldCharType="separate"/>
      </w:r>
      <w:r w:rsidR="005E7999">
        <w:rPr>
          <w:rFonts w:ascii="Arial" w:hAnsi="Arial" w:cs="Arial"/>
          <w:iCs/>
          <w:noProof/>
          <w:sz w:val="21"/>
          <w:szCs w:val="21"/>
        </w:rPr>
        <w:t>${</w:t>
      </w:r>
      <w:r w:rsidR="005601EA" w:rsidRPr="005601EA">
        <w:rPr>
          <w:rFonts w:ascii="Arial" w:hAnsi="Arial" w:cs="Arial"/>
          <w:iCs/>
          <w:noProof/>
          <w:sz w:val="21"/>
          <w:szCs w:val="21"/>
        </w:rPr>
        <w:t>SeccionalTelefono</w:t>
      </w:r>
      <w:r w:rsidR="005E7999">
        <w:rPr>
          <w:rFonts w:ascii="Arial" w:hAnsi="Arial" w:cs="Arial"/>
          <w:iCs/>
          <w:noProof/>
          <w:sz w:val="21"/>
          <w:szCs w:val="21"/>
        </w:rPr>
        <w:t>}</w:t>
      </w:r>
      <w:r w:rsidR="005601EA" w:rsidRPr="005601EA">
        <w:rPr>
          <w:rFonts w:ascii="Arial" w:hAnsi="Arial" w:cs="Arial"/>
          <w:iCs/>
          <w:sz w:val="21"/>
          <w:szCs w:val="21"/>
        </w:rPr>
        <w:fldChar w:fldCharType="end"/>
      </w:r>
      <w:r w:rsidRPr="005601EA">
        <w:rPr>
          <w:rFonts w:ascii="Arial" w:hAnsi="Arial" w:cs="Arial"/>
          <w:iCs/>
          <w:sz w:val="21"/>
          <w:szCs w:val="21"/>
        </w:rPr>
        <w:t xml:space="preserve">, División de Cobro Coactivo de la Dirección Ejecutiva de Administración Judicial, ubicada en la </w:t>
      </w:r>
      <w:r w:rsidR="00837E2E" w:rsidRPr="005601EA">
        <w:rPr>
          <w:rFonts w:ascii="Arial" w:hAnsi="Arial" w:cs="Arial"/>
          <w:iCs/>
          <w:sz w:val="21"/>
          <w:szCs w:val="21"/>
        </w:rPr>
        <w:fldChar w:fldCharType="begin"/>
      </w:r>
      <w:r w:rsidR="00837E2E" w:rsidRPr="005601EA">
        <w:rPr>
          <w:rFonts w:ascii="Arial" w:hAnsi="Arial" w:cs="Arial"/>
          <w:iCs/>
          <w:sz w:val="21"/>
          <w:szCs w:val="21"/>
        </w:rPr>
        <w:instrText xml:space="preserve"> MERGEFIELD  SeccionalDireccion  \* MERGEFORMAT </w:instrText>
      </w:r>
      <w:r w:rsidR="00837E2E" w:rsidRPr="005601EA">
        <w:rPr>
          <w:rFonts w:ascii="Arial" w:hAnsi="Arial" w:cs="Arial"/>
          <w:iCs/>
          <w:sz w:val="21"/>
          <w:szCs w:val="21"/>
        </w:rPr>
        <w:fldChar w:fldCharType="separate"/>
      </w:r>
      <w:r w:rsidR="005E7999">
        <w:rPr>
          <w:rFonts w:ascii="Arial" w:hAnsi="Arial" w:cs="Arial"/>
          <w:iCs/>
          <w:noProof/>
          <w:sz w:val="21"/>
          <w:szCs w:val="21"/>
        </w:rPr>
        <w:t>${</w:t>
      </w:r>
      <w:r w:rsidR="00837E2E" w:rsidRPr="005601EA">
        <w:rPr>
          <w:rFonts w:ascii="Arial" w:hAnsi="Arial" w:cs="Arial"/>
          <w:iCs/>
          <w:noProof/>
          <w:sz w:val="21"/>
          <w:szCs w:val="21"/>
        </w:rPr>
        <w:t>SeccionalDireccion</w:t>
      </w:r>
      <w:r w:rsidR="005E7999">
        <w:rPr>
          <w:rFonts w:ascii="Arial" w:hAnsi="Arial" w:cs="Arial"/>
          <w:iCs/>
          <w:noProof/>
          <w:sz w:val="21"/>
          <w:szCs w:val="21"/>
        </w:rPr>
        <w:t>}</w:t>
      </w:r>
      <w:r w:rsidR="00837E2E" w:rsidRPr="005601EA">
        <w:rPr>
          <w:rFonts w:ascii="Arial" w:hAnsi="Arial" w:cs="Arial"/>
          <w:iCs/>
          <w:sz w:val="21"/>
          <w:szCs w:val="21"/>
        </w:rPr>
        <w:fldChar w:fldCharType="end"/>
      </w:r>
      <w:r w:rsidRPr="005601EA">
        <w:rPr>
          <w:rFonts w:ascii="Arial" w:hAnsi="Arial" w:cs="Arial"/>
          <w:iCs/>
          <w:sz w:val="21"/>
          <w:szCs w:val="21"/>
        </w:rPr>
        <w:t xml:space="preserve"> de </w:t>
      </w:r>
      <w:r w:rsidR="00933609" w:rsidRPr="005601EA">
        <w:rPr>
          <w:rFonts w:ascii="Arial" w:hAnsi="Arial" w:cs="Arial"/>
          <w:iCs/>
          <w:sz w:val="21"/>
          <w:szCs w:val="21"/>
        </w:rPr>
        <w:t>esta ciudad</w:t>
      </w:r>
      <w:r w:rsidRPr="005601EA">
        <w:rPr>
          <w:rFonts w:ascii="Arial" w:hAnsi="Arial" w:cs="Arial"/>
          <w:iCs/>
          <w:sz w:val="21"/>
          <w:szCs w:val="21"/>
        </w:rPr>
        <w:t xml:space="preserve">, o al correo electrónico </w:t>
      </w:r>
      <w:r w:rsidR="00933609" w:rsidRPr="005601EA">
        <w:rPr>
          <w:rFonts w:ascii="Arial" w:eastAsia="Times New Roman" w:hAnsi="Arial" w:cs="Arial"/>
          <w:sz w:val="21"/>
          <w:szCs w:val="21"/>
          <w:lang w:eastAsia="es-CO"/>
        </w:rPr>
        <w:fldChar w:fldCharType="begin"/>
      </w:r>
      <w:r w:rsidR="00933609" w:rsidRPr="005601EA">
        <w:rPr>
          <w:rFonts w:ascii="Arial" w:eastAsia="Times New Roman" w:hAnsi="Arial" w:cs="Arial"/>
          <w:sz w:val="21"/>
          <w:szCs w:val="21"/>
          <w:lang w:eastAsia="es-CO"/>
        </w:rPr>
        <w:instrText xml:space="preserve"> MERGEFIELD SeccionalCorreo </w:instrText>
      </w:r>
      <w:r w:rsidR="00933609" w:rsidRPr="005601EA">
        <w:rPr>
          <w:rFonts w:ascii="Arial" w:eastAsia="Times New Roman" w:hAnsi="Arial" w:cs="Arial"/>
          <w:sz w:val="21"/>
          <w:szCs w:val="21"/>
          <w:lang w:eastAsia="es-CO"/>
        </w:rPr>
        <w:fldChar w:fldCharType="separate"/>
      </w:r>
      <w:r w:rsidR="005E7999">
        <w:rPr>
          <w:rFonts w:ascii="Arial" w:eastAsia="Times New Roman" w:hAnsi="Arial" w:cs="Arial"/>
          <w:noProof/>
          <w:sz w:val="21"/>
          <w:szCs w:val="21"/>
          <w:lang w:eastAsia="es-CO"/>
        </w:rPr>
        <w:t>${</w:t>
      </w:r>
      <w:r w:rsidR="00933609" w:rsidRPr="005601EA">
        <w:rPr>
          <w:rFonts w:ascii="Arial" w:eastAsia="Times New Roman" w:hAnsi="Arial" w:cs="Arial"/>
          <w:noProof/>
          <w:sz w:val="21"/>
          <w:szCs w:val="21"/>
          <w:lang w:eastAsia="es-CO"/>
        </w:rPr>
        <w:t>SeccionalCorreo</w:t>
      </w:r>
      <w:r w:rsidR="005E7999">
        <w:rPr>
          <w:rFonts w:ascii="Arial" w:eastAsia="Times New Roman" w:hAnsi="Arial" w:cs="Arial"/>
          <w:noProof/>
          <w:sz w:val="21"/>
          <w:szCs w:val="21"/>
          <w:lang w:eastAsia="es-CO"/>
        </w:rPr>
        <w:t>}</w:t>
      </w:r>
      <w:r w:rsidR="00933609" w:rsidRPr="005601EA">
        <w:rPr>
          <w:rFonts w:ascii="Arial" w:eastAsia="Times New Roman" w:hAnsi="Arial" w:cs="Arial"/>
          <w:sz w:val="21"/>
          <w:szCs w:val="21"/>
          <w:lang w:eastAsia="es-CO"/>
        </w:rPr>
        <w:fldChar w:fldCharType="end"/>
      </w:r>
    </w:p>
    <w:p w14:paraId="2C916095" w14:textId="6032FBF2" w:rsidR="004C0131" w:rsidRDefault="004C0131" w:rsidP="00992031">
      <w:pPr>
        <w:spacing w:after="0" w:line="240" w:lineRule="auto"/>
        <w:jc w:val="both"/>
        <w:rPr>
          <w:rFonts w:ascii="Arial" w:hAnsi="Arial" w:cs="Arial"/>
          <w:color w:val="000000"/>
          <w:sz w:val="21"/>
          <w:szCs w:val="21"/>
        </w:rPr>
      </w:pPr>
    </w:p>
    <w:p w14:paraId="4C846942" w14:textId="7E233EAA" w:rsidR="002342E9" w:rsidRPr="005601EA" w:rsidRDefault="002342E9" w:rsidP="002342E9">
      <w:pPr>
        <w:pBdr>
          <w:top w:val="nil"/>
          <w:left w:val="nil"/>
          <w:bottom w:val="nil"/>
          <w:right w:val="nil"/>
          <w:between w:val="nil"/>
        </w:pBdr>
        <w:spacing w:after="0" w:line="240" w:lineRule="auto"/>
        <w:rPr>
          <w:rFonts w:ascii="Arial" w:eastAsia="Arial" w:hAnsi="Arial" w:cs="Arial"/>
          <w:color w:val="000000"/>
          <w:sz w:val="21"/>
          <w:szCs w:val="21"/>
        </w:rPr>
      </w:pPr>
      <w:r w:rsidRPr="005601EA">
        <w:rPr>
          <w:rFonts w:ascii="Arial" w:eastAsia="Arial" w:hAnsi="Arial" w:cs="Arial"/>
          <w:color w:val="000000"/>
          <w:sz w:val="21"/>
          <w:szCs w:val="21"/>
        </w:rPr>
        <w:t xml:space="preserve">Cordial saludo, </w:t>
      </w:r>
    </w:p>
    <w:p w14:paraId="0EC6E1C5" w14:textId="77777777" w:rsidR="002342E9" w:rsidRPr="005601EA" w:rsidRDefault="002342E9" w:rsidP="002342E9">
      <w:pPr>
        <w:pBdr>
          <w:top w:val="nil"/>
          <w:left w:val="nil"/>
          <w:bottom w:val="nil"/>
          <w:right w:val="nil"/>
          <w:between w:val="nil"/>
        </w:pBdr>
        <w:spacing w:after="0" w:line="240" w:lineRule="auto"/>
        <w:rPr>
          <w:rFonts w:ascii="Arial" w:eastAsia="Arial" w:hAnsi="Arial" w:cs="Arial"/>
          <w:color w:val="000000"/>
          <w:sz w:val="21"/>
          <w:szCs w:val="21"/>
        </w:rPr>
      </w:pPr>
      <w:r w:rsidRPr="005601EA">
        <w:rPr>
          <w:rFonts w:ascii="Arial" w:eastAsia="Arial" w:hAnsi="Arial" w:cs="Arial"/>
          <w:color w:val="000000"/>
          <w:sz w:val="21"/>
          <w:szCs w:val="21"/>
        </w:rPr>
        <w:t>[SIGNATURE-R]</w:t>
      </w:r>
    </w:p>
    <w:p w14:paraId="7ECFFF68" w14:textId="342D47BA" w:rsidR="002342E9" w:rsidRPr="005601EA" w:rsidRDefault="002342E9" w:rsidP="002342E9">
      <w:pPr>
        <w:pBdr>
          <w:top w:val="nil"/>
          <w:left w:val="nil"/>
          <w:bottom w:val="nil"/>
          <w:right w:val="nil"/>
          <w:between w:val="nil"/>
        </w:pBdr>
        <w:spacing w:after="0" w:line="240" w:lineRule="auto"/>
        <w:rPr>
          <w:rFonts w:ascii="Arial" w:eastAsia="Arial" w:hAnsi="Arial" w:cs="Arial"/>
          <w:b/>
          <w:color w:val="000000"/>
          <w:sz w:val="21"/>
          <w:szCs w:val="21"/>
        </w:rPr>
      </w:pPr>
      <w:r w:rsidRPr="005601EA">
        <w:rPr>
          <w:rFonts w:ascii="Arial" w:eastAsia="Arial" w:hAnsi="Arial" w:cs="Arial"/>
          <w:b/>
          <w:color w:val="000000"/>
          <w:sz w:val="21"/>
          <w:szCs w:val="21"/>
        </w:rPr>
        <w:fldChar w:fldCharType="begin"/>
      </w:r>
      <w:r w:rsidRPr="005601EA">
        <w:rPr>
          <w:rFonts w:ascii="Arial" w:eastAsia="Arial" w:hAnsi="Arial" w:cs="Arial"/>
          <w:b/>
          <w:color w:val="000000"/>
          <w:sz w:val="21"/>
          <w:szCs w:val="21"/>
        </w:rPr>
        <w:instrText xml:space="preserve"> MERGEFIELD Abogado </w:instrText>
      </w:r>
      <w:r w:rsidRPr="005601EA">
        <w:rPr>
          <w:rFonts w:ascii="Arial" w:eastAsia="Arial" w:hAnsi="Arial" w:cs="Arial"/>
          <w:b/>
          <w:color w:val="000000"/>
          <w:sz w:val="21"/>
          <w:szCs w:val="21"/>
        </w:rPr>
        <w:fldChar w:fldCharType="separate"/>
      </w:r>
      <w:r w:rsidR="005E7999">
        <w:rPr>
          <w:rFonts w:ascii="Arial" w:eastAsia="Arial" w:hAnsi="Arial" w:cs="Arial"/>
          <w:b/>
          <w:noProof/>
          <w:color w:val="000000"/>
          <w:sz w:val="21"/>
          <w:szCs w:val="21"/>
        </w:rPr>
        <w:t>${</w:t>
      </w:r>
      <w:r w:rsidRPr="005601EA">
        <w:rPr>
          <w:rFonts w:ascii="Arial" w:eastAsia="Arial" w:hAnsi="Arial" w:cs="Arial"/>
          <w:b/>
          <w:noProof/>
          <w:color w:val="000000"/>
          <w:sz w:val="21"/>
          <w:szCs w:val="21"/>
        </w:rPr>
        <w:t>Abogado</w:t>
      </w:r>
      <w:r w:rsidR="005E7999">
        <w:rPr>
          <w:rFonts w:ascii="Arial" w:eastAsia="Arial" w:hAnsi="Arial" w:cs="Arial"/>
          <w:b/>
          <w:noProof/>
          <w:color w:val="000000"/>
          <w:sz w:val="21"/>
          <w:szCs w:val="21"/>
        </w:rPr>
        <w:t>}</w:t>
      </w:r>
      <w:r w:rsidRPr="005601EA">
        <w:rPr>
          <w:rFonts w:ascii="Arial" w:eastAsia="Arial" w:hAnsi="Arial" w:cs="Arial"/>
          <w:b/>
          <w:color w:val="000000"/>
          <w:sz w:val="21"/>
          <w:szCs w:val="21"/>
        </w:rPr>
        <w:fldChar w:fldCharType="end"/>
      </w:r>
    </w:p>
    <w:p w14:paraId="0C862581" w14:textId="77777777" w:rsidR="002342E9" w:rsidRPr="005601EA" w:rsidRDefault="002342E9" w:rsidP="002342E9">
      <w:pPr>
        <w:pBdr>
          <w:top w:val="nil"/>
          <w:left w:val="nil"/>
          <w:bottom w:val="nil"/>
          <w:right w:val="nil"/>
          <w:between w:val="nil"/>
        </w:pBdr>
        <w:spacing w:after="0" w:line="240" w:lineRule="auto"/>
        <w:rPr>
          <w:rFonts w:ascii="Arial" w:eastAsia="Arial" w:hAnsi="Arial" w:cs="Arial"/>
          <w:color w:val="000000"/>
          <w:sz w:val="21"/>
          <w:szCs w:val="21"/>
        </w:rPr>
      </w:pPr>
    </w:p>
    <w:p w14:paraId="11598EEC" w14:textId="77777777" w:rsidR="002342E9" w:rsidRPr="005601EA" w:rsidRDefault="002342E9" w:rsidP="002342E9">
      <w:pPr>
        <w:pBdr>
          <w:top w:val="nil"/>
          <w:left w:val="nil"/>
          <w:bottom w:val="nil"/>
          <w:right w:val="nil"/>
          <w:between w:val="nil"/>
        </w:pBdr>
        <w:spacing w:after="0" w:line="240" w:lineRule="auto"/>
        <w:rPr>
          <w:rFonts w:ascii="Arial" w:eastAsia="Arial" w:hAnsi="Arial" w:cs="Arial"/>
          <w:color w:val="000000"/>
          <w:sz w:val="21"/>
          <w:szCs w:val="21"/>
        </w:rPr>
      </w:pPr>
    </w:p>
    <w:p w14:paraId="33CCAB08" w14:textId="625E216D" w:rsidR="002342E9" w:rsidRPr="005601EA" w:rsidRDefault="002342E9" w:rsidP="002342E9">
      <w:pPr>
        <w:pBdr>
          <w:top w:val="nil"/>
          <w:left w:val="nil"/>
          <w:bottom w:val="nil"/>
          <w:right w:val="nil"/>
          <w:between w:val="nil"/>
        </w:pBdr>
        <w:spacing w:after="0" w:line="240" w:lineRule="auto"/>
        <w:rPr>
          <w:rFonts w:ascii="Arial" w:eastAsia="Arial" w:hAnsi="Arial" w:cs="Arial"/>
          <w:color w:val="000000"/>
          <w:sz w:val="21"/>
          <w:szCs w:val="21"/>
        </w:rPr>
      </w:pPr>
      <w:r w:rsidRPr="005601EA">
        <w:rPr>
          <w:rFonts w:ascii="Arial" w:eastAsia="Arial" w:hAnsi="Arial" w:cs="Arial"/>
          <w:color w:val="000000"/>
          <w:sz w:val="21"/>
          <w:szCs w:val="21"/>
        </w:rPr>
        <w:t xml:space="preserve">Elaboró: </w:t>
      </w:r>
      <w:r w:rsidRPr="005601EA">
        <w:rPr>
          <w:rFonts w:ascii="Arial" w:eastAsia="Arial" w:hAnsi="Arial" w:cs="Arial"/>
          <w:color w:val="000000"/>
          <w:sz w:val="21"/>
          <w:szCs w:val="21"/>
        </w:rPr>
        <w:fldChar w:fldCharType="begin"/>
      </w:r>
      <w:r w:rsidRPr="005601EA">
        <w:rPr>
          <w:rFonts w:ascii="Arial" w:eastAsia="Arial" w:hAnsi="Arial" w:cs="Arial"/>
          <w:color w:val="000000"/>
          <w:sz w:val="21"/>
          <w:szCs w:val="21"/>
        </w:rPr>
        <w:instrText xml:space="preserve"> MERGEFIELD Usuario </w:instrText>
      </w:r>
      <w:r w:rsidRPr="005601EA">
        <w:rPr>
          <w:rFonts w:ascii="Arial" w:eastAsia="Arial" w:hAnsi="Arial" w:cs="Arial"/>
          <w:color w:val="000000"/>
          <w:sz w:val="21"/>
          <w:szCs w:val="21"/>
        </w:rPr>
        <w:fldChar w:fldCharType="separate"/>
      </w:r>
      <w:r w:rsidR="005E7999">
        <w:rPr>
          <w:rFonts w:ascii="Arial" w:eastAsia="Arial" w:hAnsi="Arial" w:cs="Arial"/>
          <w:noProof/>
          <w:color w:val="000000"/>
          <w:sz w:val="21"/>
          <w:szCs w:val="21"/>
        </w:rPr>
        <w:t>${</w:t>
      </w:r>
      <w:r w:rsidRPr="005601EA">
        <w:rPr>
          <w:rFonts w:ascii="Arial" w:eastAsia="Arial" w:hAnsi="Arial" w:cs="Arial"/>
          <w:noProof/>
          <w:color w:val="000000"/>
          <w:sz w:val="21"/>
          <w:szCs w:val="21"/>
        </w:rPr>
        <w:t>Usuario</w:t>
      </w:r>
      <w:r w:rsidR="005E7999">
        <w:rPr>
          <w:rFonts w:ascii="Arial" w:eastAsia="Arial" w:hAnsi="Arial" w:cs="Arial"/>
          <w:noProof/>
          <w:color w:val="000000"/>
          <w:sz w:val="21"/>
          <w:szCs w:val="21"/>
        </w:rPr>
        <w:t>}</w:t>
      </w:r>
      <w:r w:rsidRPr="005601EA">
        <w:rPr>
          <w:rFonts w:ascii="Arial" w:eastAsia="Arial" w:hAnsi="Arial" w:cs="Arial"/>
          <w:color w:val="000000"/>
          <w:sz w:val="21"/>
          <w:szCs w:val="21"/>
        </w:rPr>
        <w:fldChar w:fldCharType="end"/>
      </w:r>
    </w:p>
    <w:p w14:paraId="4DCA2DB1" w14:textId="26CACA43" w:rsidR="002342E9" w:rsidRPr="005601EA" w:rsidRDefault="002342E9" w:rsidP="002342E9">
      <w:pPr>
        <w:pBdr>
          <w:top w:val="nil"/>
          <w:left w:val="nil"/>
          <w:bottom w:val="nil"/>
          <w:right w:val="nil"/>
          <w:between w:val="nil"/>
        </w:pBdr>
        <w:spacing w:after="0" w:line="240" w:lineRule="auto"/>
        <w:rPr>
          <w:rFonts w:ascii="Arial" w:eastAsia="Arial" w:hAnsi="Arial" w:cs="Arial"/>
          <w:color w:val="000000"/>
          <w:sz w:val="21"/>
          <w:szCs w:val="21"/>
        </w:rPr>
      </w:pP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TableEnd:Campos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TableEnd:Campos</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p w14:paraId="304D183A" w14:textId="77777777" w:rsidR="00DD5572" w:rsidRPr="005601EA" w:rsidRDefault="00DD5572" w:rsidP="00992031">
      <w:pPr>
        <w:tabs>
          <w:tab w:val="left" w:pos="960"/>
          <w:tab w:val="left" w:pos="1680"/>
        </w:tabs>
        <w:spacing w:after="0" w:line="240" w:lineRule="auto"/>
        <w:rPr>
          <w:rFonts w:ascii="Arial" w:eastAsia="Arial" w:hAnsi="Arial" w:cs="Arial"/>
          <w:sz w:val="21"/>
          <w:szCs w:val="21"/>
        </w:rPr>
      </w:pPr>
    </w:p>
    <w:p w14:paraId="18A7356D" w14:textId="77777777" w:rsidR="00DD5572" w:rsidRPr="005601EA" w:rsidRDefault="00DD5572" w:rsidP="00992031">
      <w:pPr>
        <w:tabs>
          <w:tab w:val="left" w:pos="960"/>
          <w:tab w:val="left" w:pos="1680"/>
        </w:tabs>
        <w:spacing w:after="0" w:line="240" w:lineRule="auto"/>
        <w:jc w:val="both"/>
        <w:rPr>
          <w:rFonts w:ascii="Arial" w:eastAsia="Arial" w:hAnsi="Arial" w:cs="Arial"/>
          <w:sz w:val="21"/>
          <w:szCs w:val="21"/>
        </w:rPr>
      </w:pPr>
      <w:r w:rsidRPr="005601EA">
        <w:rPr>
          <w:rFonts w:ascii="Arial" w:eastAsia="Arial" w:hAnsi="Arial" w:cs="Arial"/>
          <w:b/>
          <w:sz w:val="21"/>
          <w:szCs w:val="21"/>
        </w:rPr>
        <w:t>Anexos</w:t>
      </w:r>
      <w:r w:rsidRPr="005601EA">
        <w:rPr>
          <w:rFonts w:ascii="Arial" w:eastAsia="Arial" w:hAnsi="Arial" w:cs="Arial"/>
          <w:sz w:val="21"/>
          <w:szCs w:val="21"/>
        </w:rPr>
        <w:t>:</w:t>
      </w:r>
      <w:r w:rsidRPr="005601EA">
        <w:rPr>
          <w:rFonts w:ascii="Arial" w:eastAsia="Arial" w:hAnsi="Arial" w:cs="Arial"/>
          <w:sz w:val="21"/>
          <w:szCs w:val="21"/>
        </w:rPr>
        <w:tab/>
      </w:r>
    </w:p>
    <w:p w14:paraId="61B94D98" w14:textId="77777777" w:rsidR="00DD5572" w:rsidRPr="005601EA" w:rsidRDefault="00DD5572" w:rsidP="00992031">
      <w:pPr>
        <w:tabs>
          <w:tab w:val="left" w:pos="960"/>
          <w:tab w:val="left" w:pos="1680"/>
        </w:tabs>
        <w:spacing w:after="0" w:line="240" w:lineRule="auto"/>
        <w:jc w:val="both"/>
        <w:rPr>
          <w:rFonts w:ascii="Arial" w:eastAsia="Arial" w:hAnsi="Arial" w:cs="Arial"/>
          <w:sz w:val="21"/>
          <w:szCs w:val="21"/>
        </w:rPr>
      </w:pPr>
      <w:r w:rsidRPr="005601EA">
        <w:rPr>
          <w:rFonts w:ascii="Arial" w:eastAsia="Arial" w:hAnsi="Arial" w:cs="Arial"/>
          <w:b/>
          <w:sz w:val="21"/>
          <w:szCs w:val="21"/>
        </w:rPr>
        <w:t>1)</w:t>
      </w:r>
      <w:r w:rsidRPr="005601EA">
        <w:rPr>
          <w:rFonts w:ascii="Arial" w:eastAsia="Arial" w:hAnsi="Arial" w:cs="Arial"/>
          <w:sz w:val="21"/>
          <w:szCs w:val="21"/>
        </w:rPr>
        <w:t xml:space="preserve"> Documentos remitidos por la Agencia Nacional de Defensa Jurídica del Estado a la Rama Judicial, radicados por esa Agencia bajo las referencias </w:t>
      </w:r>
      <w:r w:rsidRPr="005601EA">
        <w:rPr>
          <w:rFonts w:ascii="Arial" w:hAnsi="Arial" w:cs="Arial"/>
          <w:sz w:val="21"/>
          <w:szCs w:val="21"/>
        </w:rPr>
        <w:t xml:space="preserve">20231030025371-OAJ, 20231030028281-OAJ y 20231030030201-OAJ </w:t>
      </w:r>
      <w:r w:rsidRPr="005601EA">
        <w:rPr>
          <w:rFonts w:ascii="Arial" w:hAnsi="Arial" w:cs="Arial"/>
          <w:color w:val="000000"/>
          <w:sz w:val="21"/>
          <w:szCs w:val="21"/>
          <w:lang w:eastAsia="es-CO"/>
        </w:rPr>
        <w:t>de 31/03/2023, 12/04/2023 y 14/04/2023, respectivamente</w:t>
      </w:r>
      <w:r w:rsidRPr="005601EA">
        <w:rPr>
          <w:rFonts w:ascii="Arial" w:eastAsia="Arial" w:hAnsi="Arial" w:cs="Arial"/>
          <w:sz w:val="21"/>
          <w:szCs w:val="21"/>
        </w:rPr>
        <w:t>.</w:t>
      </w:r>
    </w:p>
    <w:p w14:paraId="1CE2A680" w14:textId="43DE28DC" w:rsidR="00DD5572" w:rsidRPr="005601EA" w:rsidRDefault="00DD5572" w:rsidP="00992031">
      <w:pPr>
        <w:tabs>
          <w:tab w:val="left" w:pos="960"/>
          <w:tab w:val="left" w:pos="1680"/>
        </w:tabs>
        <w:spacing w:after="0" w:line="240" w:lineRule="auto"/>
        <w:jc w:val="both"/>
        <w:rPr>
          <w:rFonts w:ascii="Arial" w:eastAsia="Arial" w:hAnsi="Arial" w:cs="Arial"/>
          <w:sz w:val="21"/>
          <w:szCs w:val="21"/>
        </w:rPr>
      </w:pPr>
      <w:bookmarkStart w:id="4" w:name="_Hlk135045883"/>
      <w:r w:rsidRPr="005601EA">
        <w:rPr>
          <w:rFonts w:ascii="Arial" w:eastAsia="Arial" w:hAnsi="Arial" w:cs="Arial"/>
          <w:b/>
          <w:sz w:val="21"/>
          <w:szCs w:val="21"/>
        </w:rPr>
        <w:t>2)</w:t>
      </w:r>
      <w:r w:rsidRPr="005601EA">
        <w:rPr>
          <w:rFonts w:ascii="Arial" w:eastAsia="Arial" w:hAnsi="Arial" w:cs="Arial"/>
          <w:sz w:val="21"/>
          <w:szCs w:val="21"/>
        </w:rPr>
        <w:t xml:space="preserve"> Títulos </w:t>
      </w:r>
      <w:bookmarkEnd w:id="4"/>
      <w:r w:rsidRPr="005601EA">
        <w:rPr>
          <w:rFonts w:ascii="Arial" w:eastAsia="Arial" w:hAnsi="Arial" w:cs="Arial"/>
          <w:sz w:val="21"/>
          <w:szCs w:val="21"/>
        </w:rPr>
        <w:t>ejecutivos contentivos de multas penales, relacionados en esta comunicación en un cuadro.</w:t>
      </w:r>
    </w:p>
    <w:p w14:paraId="4C1DBF2A" w14:textId="36E56EEF" w:rsidR="005601EA" w:rsidRPr="005601EA" w:rsidRDefault="005601EA" w:rsidP="005601EA">
      <w:pPr>
        <w:pBdr>
          <w:top w:val="nil"/>
          <w:left w:val="nil"/>
          <w:bottom w:val="nil"/>
          <w:right w:val="nil"/>
          <w:between w:val="nil"/>
        </w:pBdr>
        <w:spacing w:after="0" w:line="240" w:lineRule="auto"/>
        <w:rPr>
          <w:rFonts w:ascii="Arial" w:eastAsia="Arial" w:hAnsi="Arial" w:cs="Arial"/>
          <w:color w:val="FF0000"/>
          <w:sz w:val="21"/>
          <w:szCs w:val="21"/>
        </w:rPr>
      </w:pPr>
      <w:r w:rsidRPr="005601EA">
        <w:rPr>
          <w:rFonts w:ascii="Arial" w:eastAsia="Arial" w:hAnsi="Arial" w:cs="Arial"/>
          <w:b/>
          <w:sz w:val="21"/>
          <w:szCs w:val="21"/>
        </w:rPr>
        <w:t>3)</w:t>
      </w:r>
      <w:r w:rsidRPr="005601EA">
        <w:rPr>
          <w:rFonts w:ascii="Arial" w:eastAsia="Arial" w:hAnsi="Arial" w:cs="Arial"/>
          <w:sz w:val="21"/>
          <w:szCs w:val="21"/>
        </w:rPr>
        <w:t xml:space="preserve"> </w:t>
      </w:r>
      <w:r w:rsidRPr="005601EA">
        <w:rPr>
          <w:rFonts w:ascii="Arial" w:eastAsia="Arial" w:hAnsi="Arial" w:cs="Arial"/>
          <w:color w:val="FF0000"/>
          <w:sz w:val="21"/>
          <w:szCs w:val="21"/>
        </w:rPr>
        <w:fldChar w:fldCharType="begin"/>
      </w:r>
      <w:r w:rsidRPr="005601EA">
        <w:rPr>
          <w:rFonts w:ascii="Arial" w:eastAsia="Arial" w:hAnsi="Arial" w:cs="Arial"/>
          <w:color w:val="FF0000"/>
          <w:sz w:val="21"/>
          <w:szCs w:val="21"/>
        </w:rPr>
        <w:instrText xml:space="preserve"> MERGEFIELD  Remisorio </w:instrText>
      </w:r>
      <w:r w:rsidRPr="005601EA">
        <w:rPr>
          <w:rFonts w:ascii="Arial" w:eastAsia="Arial" w:hAnsi="Arial" w:cs="Arial"/>
          <w:color w:val="FF0000"/>
          <w:sz w:val="21"/>
          <w:szCs w:val="21"/>
        </w:rPr>
        <w:fldChar w:fldCharType="separate"/>
      </w:r>
      <w:r w:rsidR="005E7999">
        <w:rPr>
          <w:rFonts w:ascii="Arial" w:eastAsia="Arial" w:hAnsi="Arial" w:cs="Arial"/>
          <w:noProof/>
          <w:color w:val="FF0000"/>
          <w:sz w:val="21"/>
          <w:szCs w:val="21"/>
        </w:rPr>
        <w:t>${</w:t>
      </w:r>
      <w:r w:rsidRPr="005601EA">
        <w:rPr>
          <w:rFonts w:ascii="Arial" w:eastAsia="Arial" w:hAnsi="Arial" w:cs="Arial"/>
          <w:noProof/>
          <w:color w:val="FF0000"/>
          <w:sz w:val="21"/>
          <w:szCs w:val="21"/>
        </w:rPr>
        <w:t>Remisorio</w:t>
      </w:r>
      <w:r w:rsidR="005E7999">
        <w:rPr>
          <w:rFonts w:ascii="Arial" w:eastAsia="Arial" w:hAnsi="Arial" w:cs="Arial"/>
          <w:noProof/>
          <w:color w:val="FF0000"/>
          <w:sz w:val="21"/>
          <w:szCs w:val="21"/>
        </w:rPr>
        <w:t>}</w:t>
      </w:r>
      <w:r w:rsidRPr="005601EA">
        <w:rPr>
          <w:rFonts w:ascii="Arial" w:eastAsia="Arial" w:hAnsi="Arial" w:cs="Arial"/>
          <w:color w:val="FF0000"/>
          <w:sz w:val="21"/>
          <w:szCs w:val="21"/>
        </w:rPr>
        <w:fldChar w:fldCharType="end"/>
      </w:r>
    </w:p>
    <w:p w14:paraId="3E1A2DA7" w14:textId="3E8529B3" w:rsidR="00DD5572" w:rsidRPr="005601EA" w:rsidRDefault="00DD5572" w:rsidP="005601EA">
      <w:pPr>
        <w:tabs>
          <w:tab w:val="left" w:pos="960"/>
          <w:tab w:val="left" w:pos="1680"/>
        </w:tabs>
        <w:spacing w:after="0" w:line="240" w:lineRule="auto"/>
        <w:jc w:val="both"/>
        <w:rPr>
          <w:rFonts w:ascii="Arial" w:eastAsia="Arial" w:hAnsi="Arial" w:cs="Arial"/>
          <w:sz w:val="21"/>
          <w:szCs w:val="21"/>
        </w:rPr>
      </w:pPr>
    </w:p>
    <w:p w14:paraId="0D563F81" w14:textId="77777777" w:rsidR="00DD5572" w:rsidRPr="005601EA" w:rsidRDefault="00DD5572" w:rsidP="00992031">
      <w:pPr>
        <w:tabs>
          <w:tab w:val="left" w:pos="960"/>
          <w:tab w:val="left" w:pos="1680"/>
        </w:tabs>
        <w:spacing w:after="0" w:line="240" w:lineRule="auto"/>
        <w:jc w:val="both"/>
        <w:rPr>
          <w:rFonts w:ascii="Arial" w:eastAsia="Arial" w:hAnsi="Arial" w:cs="Arial"/>
          <w:sz w:val="21"/>
          <w:szCs w:val="21"/>
        </w:rPr>
      </w:pPr>
      <w:r w:rsidRPr="005601EA">
        <w:rPr>
          <w:rFonts w:ascii="Arial" w:eastAsia="Arial" w:hAnsi="Arial" w:cs="Arial"/>
          <w:sz w:val="21"/>
          <w:szCs w:val="21"/>
        </w:rPr>
        <w:t xml:space="preserve">Con copia a: Dra. </w:t>
      </w:r>
      <w:proofErr w:type="spellStart"/>
      <w:r w:rsidRPr="005601EA">
        <w:rPr>
          <w:rFonts w:ascii="Arial" w:eastAsia="Arial" w:hAnsi="Arial" w:cs="Arial"/>
          <w:sz w:val="21"/>
          <w:szCs w:val="21"/>
        </w:rPr>
        <w:t>Alie</w:t>
      </w:r>
      <w:proofErr w:type="spellEnd"/>
      <w:r w:rsidRPr="005601EA">
        <w:rPr>
          <w:rFonts w:ascii="Arial" w:eastAsia="Arial" w:hAnsi="Arial" w:cs="Arial"/>
          <w:sz w:val="21"/>
          <w:szCs w:val="21"/>
        </w:rPr>
        <w:t xml:space="preserve"> Rocío Rodríguez – Jefe Oficina Asesora Jurídica Agencia Nacional de Defensa Jurídica del Estado.</w:t>
      </w:r>
    </w:p>
    <w:p w14:paraId="40CEF78D" w14:textId="77777777" w:rsidR="00DD5572" w:rsidRPr="005601EA" w:rsidRDefault="00DD5572" w:rsidP="00992031">
      <w:pPr>
        <w:tabs>
          <w:tab w:val="left" w:pos="960"/>
          <w:tab w:val="left" w:pos="1680"/>
        </w:tabs>
        <w:spacing w:after="0" w:line="240" w:lineRule="auto"/>
        <w:rPr>
          <w:rFonts w:ascii="Arial" w:eastAsia="Arial" w:hAnsi="Arial" w:cs="Arial"/>
          <w:sz w:val="21"/>
          <w:szCs w:val="21"/>
        </w:rPr>
      </w:pPr>
      <w:r w:rsidRPr="005601EA">
        <w:rPr>
          <w:rFonts w:ascii="Arial" w:eastAsia="Arial" w:hAnsi="Arial" w:cs="Arial"/>
          <w:sz w:val="21"/>
          <w:szCs w:val="21"/>
        </w:rPr>
        <w:t>Proyectaron:</w:t>
      </w:r>
      <w:r w:rsidRPr="005601EA">
        <w:rPr>
          <w:rFonts w:ascii="Arial" w:eastAsia="Arial" w:hAnsi="Arial" w:cs="Arial"/>
          <w:sz w:val="21"/>
          <w:szCs w:val="21"/>
        </w:rPr>
        <w:tab/>
        <w:t>Daniela Barrera Díaz y Juan Carlos Fernández Garzón – División de Cobro Coactivo.</w:t>
      </w:r>
    </w:p>
    <w:p w14:paraId="186C39D4" w14:textId="77777777" w:rsidR="00BB37F5" w:rsidRPr="005601EA" w:rsidRDefault="00BB37F5" w:rsidP="00992031">
      <w:pPr>
        <w:spacing w:after="0" w:line="240" w:lineRule="auto"/>
        <w:rPr>
          <w:rFonts w:ascii="Arial" w:eastAsia="Times New Roman" w:hAnsi="Arial" w:cs="Arial"/>
          <w:sz w:val="21"/>
          <w:szCs w:val="21"/>
          <w:lang w:eastAsia="es-CO"/>
        </w:rPr>
      </w:pPr>
    </w:p>
    <w:sectPr w:rsidR="00BB37F5" w:rsidRPr="005601EA" w:rsidSect="008D0B4E">
      <w:headerReference w:type="default" r:id="rId11"/>
      <w:footerReference w:type="default" r:id="rId12"/>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430309" w:rsidRDefault="00430309" w:rsidP="00D063FB">
      <w:pPr>
        <w:spacing w:after="0" w:line="240" w:lineRule="auto"/>
      </w:pPr>
      <w:r>
        <w:separator/>
      </w:r>
    </w:p>
  </w:endnote>
  <w:endnote w:type="continuationSeparator" w:id="0">
    <w:p w14:paraId="630AED6E" w14:textId="77777777" w:rsidR="00430309" w:rsidRDefault="00430309"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430309" w14:paraId="4993D79B" w14:textId="77777777" w:rsidTr="00EC174D">
      <w:trPr>
        <w:trHeight w:val="512"/>
      </w:trPr>
      <w:tc>
        <w:tcPr>
          <w:tcW w:w="7239" w:type="dxa"/>
          <w:vAlign w:val="center"/>
        </w:tcPr>
        <w:p w14:paraId="5BF98772" w14:textId="298B8242" w:rsidR="006C1F0E" w:rsidRDefault="006C1F0E" w:rsidP="006C1F0E">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5E7999">
            <w:rPr>
              <w:rFonts w:ascii="Arial" w:eastAsia="Arial" w:hAnsi="Arial" w:cs="Arial"/>
              <w:noProof/>
              <w:color w:val="000000"/>
              <w:sz w:val="20"/>
              <w:szCs w:val="20"/>
            </w:rPr>
            <w:t>${</w:t>
          </w:r>
          <w:r>
            <w:rPr>
              <w:rFonts w:ascii="Arial" w:eastAsia="Arial" w:hAnsi="Arial" w:cs="Arial"/>
              <w:noProof/>
              <w:color w:val="000000"/>
              <w:sz w:val="20"/>
              <w:szCs w:val="20"/>
            </w:rPr>
            <w:t>SeccionalDireccion</w:t>
          </w:r>
          <w:r w:rsidR="005E7999">
            <w:rPr>
              <w:rFonts w:ascii="Arial" w:eastAsia="Arial" w:hAnsi="Arial" w:cs="Arial"/>
              <w:noProof/>
              <w:color w:val="000000"/>
              <w:sz w:val="20"/>
              <w:szCs w:val="20"/>
            </w:rPr>
            <w:t>}</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5E7999">
            <w:rPr>
              <w:noProof/>
            </w:rPr>
            <w:t>${</w:t>
          </w:r>
          <w:r>
            <w:rPr>
              <w:noProof/>
            </w:rPr>
            <w:t>SeccionalTelefono</w:t>
          </w:r>
          <w:r w:rsidR="005E7999">
            <w:rPr>
              <w:noProof/>
            </w:rPr>
            <w:t>}</w:t>
          </w:r>
          <w:r>
            <w:rPr>
              <w:noProof/>
            </w:rPr>
            <w:fldChar w:fldCharType="end"/>
          </w:r>
          <w:r>
            <w:t xml:space="preserve"> </w:t>
          </w:r>
        </w:p>
        <w:p w14:paraId="23BD6120" w14:textId="69AA5084" w:rsidR="00430309" w:rsidRDefault="006C1F0E" w:rsidP="006C1F0E">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5E7999">
            <w:rPr>
              <w:noProof/>
            </w:rPr>
            <w:t>${</w:t>
          </w:r>
          <w:r>
            <w:rPr>
              <w:noProof/>
            </w:rPr>
            <w:t>SeccionalCorreo</w:t>
          </w:r>
          <w:r w:rsidR="005E7999">
            <w:rPr>
              <w:noProof/>
            </w:rPr>
            <w:t>}</w:t>
          </w:r>
          <w:r>
            <w:rPr>
              <w:noProof/>
            </w:rPr>
            <w:fldChar w:fldCharType="end"/>
          </w:r>
        </w:p>
      </w:tc>
      <w:tc>
        <w:tcPr>
          <w:tcW w:w="1783" w:type="dxa"/>
          <w:vAlign w:val="center"/>
        </w:tcPr>
        <w:p w14:paraId="3343C2C5" w14:textId="77777777" w:rsidR="00430309" w:rsidRDefault="00430309"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430309" w:rsidRDefault="004303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430309" w:rsidRDefault="00430309" w:rsidP="00D063FB">
      <w:pPr>
        <w:spacing w:after="0" w:line="240" w:lineRule="auto"/>
      </w:pPr>
      <w:r>
        <w:separator/>
      </w:r>
    </w:p>
  </w:footnote>
  <w:footnote w:type="continuationSeparator" w:id="0">
    <w:p w14:paraId="7A3E69E1" w14:textId="77777777" w:rsidR="00430309" w:rsidRDefault="00430309" w:rsidP="00D063FB">
      <w:pPr>
        <w:spacing w:after="0" w:line="240" w:lineRule="auto"/>
      </w:pPr>
      <w:r>
        <w:continuationSeparator/>
      </w:r>
    </w:p>
  </w:footnote>
  <w:footnote w:id="1">
    <w:p w14:paraId="5EFBC532" w14:textId="77777777" w:rsidR="00430309" w:rsidRDefault="00430309" w:rsidP="00DD5572">
      <w:pPr>
        <w:pStyle w:val="Textonotapie"/>
        <w:jc w:val="both"/>
      </w:pPr>
      <w:r>
        <w:rPr>
          <w:rStyle w:val="Refdenotaalpie"/>
        </w:rPr>
        <w:footnoteRef/>
      </w:r>
      <w:r>
        <w:t xml:space="preserve"> </w:t>
      </w:r>
      <w:r w:rsidRPr="00104DBF">
        <w:rPr>
          <w:rFonts w:ascii="Arial" w:hAnsi="Arial" w:cs="Arial"/>
        </w:rPr>
        <w:t xml:space="preserve">Dado que el art. 6° de la Ley 2197 de 2022, reformó el art. 42 del Código Penal, hasta el momento, es competencia del Ministerio de Justicia solamente el cobro de multas impuestas a título de pena, pues las 24 Oficinas de Cobro de la Rama Judicial, conservan competencia para cobrar todas las demás obligaciones impuestas por la jurisdicción penal a favor del Consejo Superior de la Judicatura, tales como: </w:t>
      </w:r>
      <w:r w:rsidRPr="00104DBF">
        <w:rPr>
          <w:rFonts w:ascii="Arial" w:hAnsi="Arial" w:cs="Arial"/>
          <w:b/>
        </w:rPr>
        <w:t>a)</w:t>
      </w:r>
      <w:r w:rsidRPr="00104DBF">
        <w:rPr>
          <w:rFonts w:ascii="Arial" w:hAnsi="Arial" w:cs="Arial"/>
        </w:rPr>
        <w:t xml:space="preserve"> </w:t>
      </w:r>
      <w:r w:rsidRPr="00104DBF">
        <w:rPr>
          <w:rFonts w:ascii="Arial" w:hAnsi="Arial" w:cs="Arial"/>
          <w:b/>
        </w:rPr>
        <w:t>multas fijadas en incidentes de desacato</w:t>
      </w:r>
      <w:r w:rsidRPr="00104DBF">
        <w:rPr>
          <w:rFonts w:ascii="Arial" w:hAnsi="Arial" w:cs="Arial"/>
        </w:rPr>
        <w:t xml:space="preserve"> (cuya naturaleza es constitucional porque pueden imponerlas los jueces de cualquier jurisdicción como resultado del incumplimiento de un fallo proferido dentro de acción de tutela); </w:t>
      </w:r>
      <w:r w:rsidRPr="00104DBF">
        <w:rPr>
          <w:rFonts w:ascii="Arial" w:hAnsi="Arial" w:cs="Arial"/>
          <w:b/>
        </w:rPr>
        <w:t>b)</w:t>
      </w:r>
      <w:r w:rsidRPr="00104DBF">
        <w:rPr>
          <w:rFonts w:ascii="Arial" w:hAnsi="Arial" w:cs="Arial"/>
        </w:rPr>
        <w:t xml:space="preserve"> </w:t>
      </w:r>
      <w:r w:rsidRPr="00104DBF">
        <w:rPr>
          <w:rFonts w:ascii="Arial" w:hAnsi="Arial" w:cs="Arial"/>
          <w:b/>
        </w:rPr>
        <w:t>reparaciones</w:t>
      </w:r>
      <w:r w:rsidRPr="00104DBF">
        <w:rPr>
          <w:rFonts w:ascii="Arial" w:hAnsi="Arial" w:cs="Arial"/>
        </w:rPr>
        <w:t xml:space="preserve"> </w:t>
      </w:r>
      <w:r w:rsidRPr="00104DBF">
        <w:rPr>
          <w:rFonts w:ascii="Arial" w:hAnsi="Arial" w:cs="Arial"/>
          <w:b/>
        </w:rPr>
        <w:t>e indemnizaciones</w:t>
      </w:r>
      <w:r w:rsidRPr="00104DBF">
        <w:rPr>
          <w:rFonts w:ascii="Arial" w:hAnsi="Arial" w:cs="Arial"/>
        </w:rPr>
        <w:t xml:space="preserve"> a favor de la Rama Judicial, en las que fue reconocida como víctima; </w:t>
      </w:r>
      <w:r w:rsidRPr="00104DBF">
        <w:rPr>
          <w:rFonts w:ascii="Arial" w:hAnsi="Arial" w:cs="Arial"/>
          <w:b/>
        </w:rPr>
        <w:t>c) pólizas</w:t>
      </w:r>
      <w:r w:rsidRPr="00104DBF">
        <w:rPr>
          <w:rFonts w:ascii="Arial" w:hAnsi="Arial" w:cs="Arial"/>
        </w:rPr>
        <w:t xml:space="preserve">; </w:t>
      </w:r>
      <w:r w:rsidRPr="00104DBF">
        <w:rPr>
          <w:rFonts w:ascii="Arial" w:hAnsi="Arial" w:cs="Arial"/>
          <w:b/>
        </w:rPr>
        <w:t>d) cauciones</w:t>
      </w:r>
      <w:r w:rsidRPr="00104DBF">
        <w:rPr>
          <w:rFonts w:ascii="Arial" w:hAnsi="Arial" w:cs="Arial"/>
        </w:rPr>
        <w:t xml:space="preserve">; </w:t>
      </w:r>
      <w:r w:rsidRPr="00104DBF">
        <w:rPr>
          <w:rFonts w:ascii="Arial" w:hAnsi="Arial" w:cs="Arial"/>
          <w:b/>
        </w:rPr>
        <w:t>e) multas correccionales</w:t>
      </w:r>
      <w:r w:rsidRPr="00104DBF">
        <w:rPr>
          <w:rFonts w:ascii="Arial" w:hAnsi="Arial" w:cs="Arial"/>
        </w:rPr>
        <w:t xml:space="preserve"> impuestas por los jueces de todas las jurisdicciones en aplicación de los códigos de procedimiento, en virtud de la función del juez como director del proceso y; </w:t>
      </w:r>
      <w:r w:rsidRPr="00104DBF">
        <w:rPr>
          <w:rFonts w:ascii="Arial" w:hAnsi="Arial" w:cs="Arial"/>
          <w:b/>
        </w:rPr>
        <w:t>f)</w:t>
      </w:r>
      <w:r w:rsidRPr="00104DBF">
        <w:rPr>
          <w:rFonts w:ascii="Arial" w:hAnsi="Arial" w:cs="Arial"/>
        </w:rPr>
        <w:t xml:space="preserve"> demás acreencias favor de la Rama Judicial que no correspondan a la pena de multa, conforme al art. 192 de la Ley Estatutaria de la Administración de Justicia, modificado en el art. 3° de la Ley 1743 de 2014</w:t>
      </w:r>
      <w:r>
        <w:rPr>
          <w:rFonts w:ascii="Arial" w:hAnsi="Arial" w:cs="Arial"/>
        </w:rPr>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430309" w14:paraId="5D9434A2" w14:textId="77777777" w:rsidTr="001032C3">
      <w:trPr>
        <w:trHeight w:hRule="exact" w:val="665"/>
      </w:trPr>
      <w:tc>
        <w:tcPr>
          <w:tcW w:w="3501" w:type="dxa"/>
          <w:vMerge w:val="restart"/>
        </w:tcPr>
        <w:p w14:paraId="79E13EE8" w14:textId="77777777" w:rsidR="00430309" w:rsidRDefault="00430309"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430309" w:rsidRDefault="00430309" w:rsidP="00D063FB">
          <w:pPr>
            <w:spacing w:after="0" w:line="1" w:lineRule="auto"/>
            <w:rPr>
              <w:sz w:val="2"/>
            </w:rPr>
          </w:pPr>
        </w:p>
      </w:tc>
      <w:tc>
        <w:tcPr>
          <w:tcW w:w="5440" w:type="dxa"/>
        </w:tcPr>
        <w:p w14:paraId="4DA211DD" w14:textId="77777777" w:rsidR="00430309" w:rsidRDefault="00430309" w:rsidP="00D063FB">
          <w:pPr>
            <w:spacing w:after="0" w:line="1" w:lineRule="auto"/>
            <w:rPr>
              <w:sz w:val="2"/>
            </w:rPr>
          </w:pPr>
        </w:p>
      </w:tc>
    </w:tr>
    <w:tr w:rsidR="00430309" w14:paraId="3144A335" w14:textId="77777777" w:rsidTr="001032C3">
      <w:trPr>
        <w:trHeight w:hRule="exact" w:val="485"/>
      </w:trPr>
      <w:tc>
        <w:tcPr>
          <w:tcW w:w="3501" w:type="dxa"/>
          <w:vMerge/>
        </w:tcPr>
        <w:p w14:paraId="19B41387" w14:textId="77777777" w:rsidR="00430309" w:rsidRDefault="00430309" w:rsidP="00D063FB">
          <w:pPr>
            <w:spacing w:after="0" w:line="1" w:lineRule="auto"/>
            <w:rPr>
              <w:sz w:val="2"/>
            </w:rPr>
          </w:pPr>
        </w:p>
      </w:tc>
      <w:tc>
        <w:tcPr>
          <w:tcW w:w="29" w:type="dxa"/>
        </w:tcPr>
        <w:p w14:paraId="2C5DF25E" w14:textId="77777777" w:rsidR="00430309" w:rsidRDefault="00430309" w:rsidP="00D063FB">
          <w:pPr>
            <w:spacing w:after="0" w:line="1" w:lineRule="auto"/>
            <w:rPr>
              <w:sz w:val="2"/>
            </w:rPr>
          </w:pPr>
        </w:p>
      </w:tc>
      <w:tc>
        <w:tcPr>
          <w:tcW w:w="5440" w:type="dxa"/>
          <w:vAlign w:val="center"/>
        </w:tcPr>
        <w:p w14:paraId="53DA9DC5" w14:textId="77777777" w:rsidR="00430309" w:rsidRDefault="00430309"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F8F77CA" w:rsidR="00430309" w:rsidRDefault="00430309"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5E7999">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5E7999">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430309" w:rsidRDefault="00430309" w:rsidP="00CD5892">
    <w:pPr>
      <w:pStyle w:val="Sinespaciado"/>
      <w:rPr>
        <w:rFonts w:ascii="Arial" w:hAnsi="Arial" w:cs="Arial"/>
      </w:rPr>
    </w:pPr>
  </w:p>
  <w:p w14:paraId="7116F61D" w14:textId="77777777" w:rsidR="00430309" w:rsidRPr="00CD5892" w:rsidRDefault="00430309"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661D2"/>
    <w:multiLevelType w:val="hybridMultilevel"/>
    <w:tmpl w:val="1854BFD6"/>
    <w:lvl w:ilvl="0" w:tplc="EDEABAF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7680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2E9"/>
    <w:rsid w:val="002346EB"/>
    <w:rsid w:val="00246DF6"/>
    <w:rsid w:val="00265F07"/>
    <w:rsid w:val="002814F5"/>
    <w:rsid w:val="00284977"/>
    <w:rsid w:val="002914B8"/>
    <w:rsid w:val="00294D61"/>
    <w:rsid w:val="002A37A4"/>
    <w:rsid w:val="002D5042"/>
    <w:rsid w:val="002E1CE0"/>
    <w:rsid w:val="002E2EDE"/>
    <w:rsid w:val="002E5ED2"/>
    <w:rsid w:val="00340A50"/>
    <w:rsid w:val="003557BC"/>
    <w:rsid w:val="00391F73"/>
    <w:rsid w:val="00395F35"/>
    <w:rsid w:val="003A6EAA"/>
    <w:rsid w:val="003B3166"/>
    <w:rsid w:val="003D1C51"/>
    <w:rsid w:val="003D62A1"/>
    <w:rsid w:val="003F50B5"/>
    <w:rsid w:val="00430309"/>
    <w:rsid w:val="00435421"/>
    <w:rsid w:val="004429EB"/>
    <w:rsid w:val="00452EBB"/>
    <w:rsid w:val="00466D79"/>
    <w:rsid w:val="00487FF7"/>
    <w:rsid w:val="004C0131"/>
    <w:rsid w:val="004C57F1"/>
    <w:rsid w:val="00505B71"/>
    <w:rsid w:val="0052355A"/>
    <w:rsid w:val="00545B40"/>
    <w:rsid w:val="00555920"/>
    <w:rsid w:val="005601EA"/>
    <w:rsid w:val="00580E11"/>
    <w:rsid w:val="005858DF"/>
    <w:rsid w:val="005A7890"/>
    <w:rsid w:val="005B2CFD"/>
    <w:rsid w:val="005B6066"/>
    <w:rsid w:val="005E7999"/>
    <w:rsid w:val="006307D2"/>
    <w:rsid w:val="00633437"/>
    <w:rsid w:val="00636A01"/>
    <w:rsid w:val="00655A4A"/>
    <w:rsid w:val="006C1F0E"/>
    <w:rsid w:val="006C4995"/>
    <w:rsid w:val="006E235C"/>
    <w:rsid w:val="006F13D5"/>
    <w:rsid w:val="006F6036"/>
    <w:rsid w:val="006F78B1"/>
    <w:rsid w:val="0071326E"/>
    <w:rsid w:val="00721FDE"/>
    <w:rsid w:val="007379D0"/>
    <w:rsid w:val="00737AAF"/>
    <w:rsid w:val="00743B25"/>
    <w:rsid w:val="0077450D"/>
    <w:rsid w:val="00777EBA"/>
    <w:rsid w:val="00785657"/>
    <w:rsid w:val="0078684B"/>
    <w:rsid w:val="00790F1D"/>
    <w:rsid w:val="00793172"/>
    <w:rsid w:val="007A65B0"/>
    <w:rsid w:val="007B29B8"/>
    <w:rsid w:val="007B3090"/>
    <w:rsid w:val="007C3ECD"/>
    <w:rsid w:val="0080313A"/>
    <w:rsid w:val="00811BA0"/>
    <w:rsid w:val="008255EB"/>
    <w:rsid w:val="00831A7C"/>
    <w:rsid w:val="00834C3B"/>
    <w:rsid w:val="00837E2E"/>
    <w:rsid w:val="00844316"/>
    <w:rsid w:val="008A72FE"/>
    <w:rsid w:val="008B0C68"/>
    <w:rsid w:val="008D0B4E"/>
    <w:rsid w:val="008E78B8"/>
    <w:rsid w:val="008F7DD4"/>
    <w:rsid w:val="009140C7"/>
    <w:rsid w:val="00933609"/>
    <w:rsid w:val="00940D4A"/>
    <w:rsid w:val="009622CF"/>
    <w:rsid w:val="00967CEA"/>
    <w:rsid w:val="009820AD"/>
    <w:rsid w:val="00992031"/>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C6131"/>
    <w:rsid w:val="00CD5892"/>
    <w:rsid w:val="00CF2FB3"/>
    <w:rsid w:val="00D063FB"/>
    <w:rsid w:val="00D1463E"/>
    <w:rsid w:val="00D30C32"/>
    <w:rsid w:val="00D40F2A"/>
    <w:rsid w:val="00D57631"/>
    <w:rsid w:val="00D67B3A"/>
    <w:rsid w:val="00D83853"/>
    <w:rsid w:val="00DA7824"/>
    <w:rsid w:val="00DB490D"/>
    <w:rsid w:val="00DC62FE"/>
    <w:rsid w:val="00DD5572"/>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Textoindependiente">
    <w:name w:val="Body Text"/>
    <w:basedOn w:val="Normal"/>
    <w:link w:val="TextoindependienteCar"/>
    <w:rsid w:val="00DD5572"/>
    <w:pPr>
      <w:spacing w:after="0" w:line="240" w:lineRule="auto"/>
      <w:ind w:right="18"/>
      <w:jc w:val="both"/>
    </w:pPr>
    <w:rPr>
      <w:rFonts w:ascii="Arial" w:eastAsia="Arial" w:hAnsi="Arial" w:cs="Arial"/>
      <w:sz w:val="20"/>
      <w:szCs w:val="24"/>
      <w:lang w:val="es-ES" w:eastAsia="es-ES"/>
    </w:rPr>
  </w:style>
  <w:style w:type="character" w:customStyle="1" w:styleId="TextoindependienteCar">
    <w:name w:val="Texto independiente Car"/>
    <w:basedOn w:val="Fuentedeprrafopredeter"/>
    <w:link w:val="Textoindependiente"/>
    <w:rsid w:val="00DD5572"/>
    <w:rPr>
      <w:rFonts w:ascii="Arial" w:eastAsia="Arial" w:hAnsi="Arial" w:cs="Arial"/>
      <w:sz w:val="20"/>
      <w:szCs w:val="24"/>
      <w:lang w:val="es-ES" w:eastAsia="es-ES"/>
    </w:rPr>
  </w:style>
  <w:style w:type="character" w:customStyle="1" w:styleId="Cuerpodeltexto">
    <w:name w:val="Cuerpo del texto_"/>
    <w:link w:val="Cuerpodeltexto0"/>
    <w:rsid w:val="00DD5572"/>
    <w:rPr>
      <w:rFonts w:ascii="Arial" w:eastAsia="Arial" w:hAnsi="Arial" w:cs="Arial"/>
      <w:shd w:val="clear" w:color="auto" w:fill="FFFFFF"/>
    </w:rPr>
  </w:style>
  <w:style w:type="paragraph" w:customStyle="1" w:styleId="Cuerpodeltexto0">
    <w:name w:val="Cuerpo del texto"/>
    <w:basedOn w:val="Normal"/>
    <w:link w:val="Cuerpodeltexto"/>
    <w:rsid w:val="00DD5572"/>
    <w:pPr>
      <w:shd w:val="clear" w:color="auto" w:fill="FFFFFF"/>
      <w:spacing w:after="240" w:line="278" w:lineRule="exact"/>
      <w:ind w:hanging="1000"/>
      <w:jc w:val="right"/>
    </w:pPr>
    <w:rPr>
      <w:rFonts w:ascii="Arial" w:eastAsia="Arial" w:hAnsi="Arial" w:cs="Arial"/>
    </w:rPr>
  </w:style>
  <w:style w:type="character" w:customStyle="1" w:styleId="baj">
    <w:name w:val="b_aj"/>
    <w:rsid w:val="00DD5572"/>
  </w:style>
  <w:style w:type="paragraph" w:styleId="Prrafodelista">
    <w:name w:val="List Paragraph"/>
    <w:basedOn w:val="Normal"/>
    <w:uiPriority w:val="34"/>
    <w:qFormat/>
    <w:rsid w:val="00DD5572"/>
    <w:pPr>
      <w:spacing w:after="160" w:line="259" w:lineRule="auto"/>
      <w:ind w:left="720"/>
      <w:contextualSpacing/>
    </w:pPr>
    <w:rPr>
      <w:rFonts w:ascii="Calibri" w:eastAsia="Calibri" w:hAnsi="Calibri" w:cs="Times New Roman"/>
    </w:rPr>
  </w:style>
  <w:style w:type="paragraph" w:styleId="Textonotapie">
    <w:name w:val="footnote text"/>
    <w:basedOn w:val="Normal"/>
    <w:link w:val="TextonotapieCar"/>
    <w:semiHidden/>
    <w:unhideWhenUsed/>
    <w:rsid w:val="00DD5572"/>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DD5572"/>
    <w:rPr>
      <w:rFonts w:ascii="Times New Roman" w:eastAsia="Times New Roman" w:hAnsi="Times New Roman" w:cs="Times New Roman"/>
      <w:sz w:val="20"/>
      <w:szCs w:val="20"/>
      <w:lang w:eastAsia="es-ES"/>
    </w:rPr>
  </w:style>
  <w:style w:type="character" w:styleId="Refdenotaalpie">
    <w:name w:val="footnote reference"/>
    <w:semiHidden/>
    <w:unhideWhenUsed/>
    <w:rsid w:val="00DD5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2363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_0599_2000_pr001.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ecretariasenado.gov.co/senado/basedoc/ley_1437_2011_pr002.html" TargetMode="External"/><Relationship Id="rId4" Type="http://schemas.openxmlformats.org/officeDocument/2006/relationships/settings" Target="settings.xml"/><Relationship Id="rId9" Type="http://schemas.openxmlformats.org/officeDocument/2006/relationships/hyperlink" Target="http://www.secretariasenado.gov.co/senado/basedoc/ley_0599_2000_pr001.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2FB18-D2CF-49A5-852F-1D0396E0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2370</Words>
  <Characters>13035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23</cp:revision>
  <cp:lastPrinted>2020-02-27T16:19:00Z</cp:lastPrinted>
  <dcterms:created xsi:type="dcterms:W3CDTF">2023-05-12T17:08:00Z</dcterms:created>
  <dcterms:modified xsi:type="dcterms:W3CDTF">2024-03-14T23:28:00Z</dcterms:modified>
</cp:coreProperties>
</file>