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5186E9AC" w:rsidR="00633437" w:rsidRPr="007D1535" w:rsidRDefault="00580E11" w:rsidP="00633437">
      <w:pPr>
        <w:pStyle w:val="NormalWeb"/>
        <w:spacing w:before="0" w:beforeAutospacing="0" w:after="0" w:afterAutospacing="0"/>
        <w:rPr>
          <w:rFonts w:ascii="Arial" w:hAnsi="Arial" w:cs="Arial"/>
          <w:color w:val="FFFFFF" w:themeColor="background1"/>
          <w:sz w:val="12"/>
          <w:szCs w:val="16"/>
        </w:rPr>
      </w:pPr>
      <w:r w:rsidRPr="007D1535">
        <w:rPr>
          <w:rFonts w:ascii="Arial" w:hAnsi="Arial" w:cs="Arial"/>
          <w:color w:val="FFFFFF" w:themeColor="background1"/>
          <w:sz w:val="20"/>
        </w:rPr>
        <w:fldChar w:fldCharType="begin"/>
      </w:r>
      <w:r w:rsidR="00655A4A" w:rsidRPr="007D1535">
        <w:rPr>
          <w:rFonts w:ascii="Arial" w:hAnsi="Arial" w:cs="Arial"/>
          <w:color w:val="FFFFFF" w:themeColor="background1"/>
          <w:sz w:val="20"/>
        </w:rPr>
        <w:instrText xml:space="preserve"> MERGEFIELD Sigobius </w:instrText>
      </w:r>
      <w:r w:rsidRPr="007D1535">
        <w:rPr>
          <w:rFonts w:ascii="Arial" w:hAnsi="Arial" w:cs="Arial"/>
          <w:color w:val="FFFFFF" w:themeColor="background1"/>
          <w:sz w:val="20"/>
        </w:rPr>
        <w:fldChar w:fldCharType="separate"/>
      </w:r>
      <w:r w:rsidR="004A33B1">
        <w:rPr>
          <w:rFonts w:ascii="Arial" w:hAnsi="Arial" w:cs="Arial"/>
          <w:noProof/>
          <w:color w:val="FFFFFF" w:themeColor="background1"/>
          <w:sz w:val="20"/>
        </w:rPr>
        <w:t>${</w:t>
      </w:r>
      <w:r w:rsidR="00DF232F" w:rsidRPr="007D1535">
        <w:rPr>
          <w:rFonts w:ascii="Arial" w:hAnsi="Arial" w:cs="Arial"/>
          <w:noProof/>
          <w:color w:val="FFFFFF" w:themeColor="background1"/>
          <w:sz w:val="20"/>
        </w:rPr>
        <w:t>Sigobius»</w:t>
      </w:r>
      <w:r w:rsidRPr="007D1535">
        <w:rPr>
          <w:rFonts w:ascii="Arial" w:hAnsi="Arial" w:cs="Arial"/>
          <w:color w:val="FFFFFF" w:themeColor="background1"/>
          <w:sz w:val="20"/>
        </w:rPr>
        <w:fldChar w:fldCharType="end"/>
      </w:r>
    </w:p>
    <w:p w14:paraId="14A98AB4" w14:textId="64958D99" w:rsidR="00FD2682" w:rsidRPr="007D1535" w:rsidRDefault="00FD2682" w:rsidP="00BB37F5">
      <w:pPr>
        <w:pStyle w:val="Sinespaciado"/>
        <w:rPr>
          <w:rFonts w:ascii="Arial" w:hAnsi="Arial" w:cs="Arial"/>
          <w:color w:val="FFFFFF" w:themeColor="background1"/>
          <w:sz w:val="16"/>
          <w:lang w:eastAsia="es-CO"/>
        </w:rPr>
      </w:pPr>
      <w:r w:rsidRPr="007D1535">
        <w:rPr>
          <w:rFonts w:ascii="Arial" w:hAnsi="Arial" w:cs="Arial"/>
          <w:color w:val="FFFFFF" w:themeColor="background1"/>
          <w:sz w:val="16"/>
          <w:lang w:eastAsia="es-CO"/>
        </w:rPr>
        <w:t>Al contestar cite este número</w:t>
      </w:r>
    </w:p>
    <w:p w14:paraId="58660285" w14:textId="77777777" w:rsidR="00BB37F5" w:rsidRPr="007D1535" w:rsidRDefault="00BB37F5" w:rsidP="00BB37F5">
      <w:pPr>
        <w:pStyle w:val="Sinespaciado"/>
        <w:rPr>
          <w:rFonts w:ascii="Arial" w:hAnsi="Arial" w:cs="Arial"/>
          <w:color w:val="FFFFFF" w:themeColor="background1"/>
          <w:lang w:eastAsia="es-CO"/>
        </w:rPr>
      </w:pPr>
    </w:p>
    <w:p w14:paraId="716C4000" w14:textId="3A0F64E9" w:rsidR="007D1535" w:rsidRDefault="00580E11" w:rsidP="007D1535">
      <w:pPr>
        <w:spacing w:after="0" w:line="240" w:lineRule="auto"/>
        <w:rPr>
          <w:rFonts w:ascii="Arial" w:eastAsia="Times New Roman" w:hAnsi="Arial" w:cs="Arial"/>
          <w:color w:val="FFFFFF" w:themeColor="background1"/>
          <w:sz w:val="20"/>
          <w:lang w:eastAsia="es-CO"/>
        </w:rPr>
      </w:pPr>
      <w:r w:rsidRPr="007D1535">
        <w:rPr>
          <w:rFonts w:ascii="Arial" w:eastAsia="Times New Roman" w:hAnsi="Arial" w:cs="Arial"/>
          <w:color w:val="FFFFFF" w:themeColor="background1"/>
          <w:sz w:val="20"/>
          <w:lang w:eastAsia="es-CO"/>
        </w:rPr>
        <w:fldChar w:fldCharType="begin"/>
      </w:r>
      <w:r w:rsidR="00655A4A" w:rsidRPr="007D1535">
        <w:rPr>
          <w:rFonts w:ascii="Arial" w:eastAsia="Times New Roman" w:hAnsi="Arial" w:cs="Arial"/>
          <w:color w:val="FFFFFF" w:themeColor="background1"/>
          <w:sz w:val="20"/>
          <w:lang w:eastAsia="es-CO"/>
        </w:rPr>
        <w:instrText xml:space="preserve"> MERGEFIELD Ciudad </w:instrText>
      </w:r>
      <w:r w:rsidRPr="007D1535">
        <w:rPr>
          <w:rFonts w:ascii="Arial" w:eastAsia="Times New Roman" w:hAnsi="Arial" w:cs="Arial"/>
          <w:color w:val="FFFFFF" w:themeColor="background1"/>
          <w:sz w:val="20"/>
          <w:lang w:eastAsia="es-CO"/>
        </w:rPr>
        <w:fldChar w:fldCharType="separate"/>
      </w:r>
      <w:r w:rsidR="004A33B1">
        <w:rPr>
          <w:rFonts w:ascii="Arial" w:eastAsia="Times New Roman" w:hAnsi="Arial" w:cs="Arial"/>
          <w:noProof/>
          <w:color w:val="FFFFFF" w:themeColor="background1"/>
          <w:sz w:val="20"/>
          <w:lang w:eastAsia="es-CO"/>
        </w:rPr>
        <w:t>${</w:t>
      </w:r>
      <w:r w:rsidR="00DF232F" w:rsidRPr="007D1535">
        <w:rPr>
          <w:rFonts w:ascii="Arial" w:eastAsia="Times New Roman" w:hAnsi="Arial" w:cs="Arial"/>
          <w:noProof/>
          <w:color w:val="FFFFFF" w:themeColor="background1"/>
          <w:sz w:val="20"/>
          <w:lang w:eastAsia="es-CO"/>
        </w:rPr>
        <w:t>Ciudad»</w:t>
      </w:r>
      <w:r w:rsidRPr="007D1535">
        <w:rPr>
          <w:rFonts w:ascii="Arial" w:eastAsia="Times New Roman" w:hAnsi="Arial" w:cs="Arial"/>
          <w:color w:val="FFFFFF" w:themeColor="background1"/>
          <w:sz w:val="20"/>
          <w:lang w:eastAsia="es-CO"/>
        </w:rPr>
        <w:fldChar w:fldCharType="end"/>
      </w:r>
      <w:r w:rsidR="00FD2682" w:rsidRPr="007D1535">
        <w:rPr>
          <w:rFonts w:ascii="Arial" w:eastAsia="Times New Roman" w:hAnsi="Arial" w:cs="Arial"/>
          <w:color w:val="FFFFFF" w:themeColor="background1"/>
          <w:sz w:val="20"/>
          <w:lang w:eastAsia="es-CO"/>
        </w:rPr>
        <w:t xml:space="preserve">, </w:t>
      </w:r>
      <w:r w:rsidR="001339FC" w:rsidRPr="007D1535">
        <w:rPr>
          <w:rFonts w:ascii="Arial" w:eastAsia="Times New Roman" w:hAnsi="Arial" w:cs="Arial"/>
          <w:color w:val="FFFFFF" w:themeColor="background1"/>
          <w:sz w:val="20"/>
          <w:lang w:eastAsia="es-CO"/>
        </w:rPr>
        <w:fldChar w:fldCharType="begin"/>
      </w:r>
      <w:r w:rsidR="001339FC" w:rsidRPr="007D1535">
        <w:rPr>
          <w:rFonts w:ascii="Arial" w:eastAsia="Times New Roman" w:hAnsi="Arial" w:cs="Arial"/>
          <w:color w:val="FFFFFF" w:themeColor="background1"/>
          <w:sz w:val="20"/>
          <w:lang w:eastAsia="es-CO"/>
        </w:rPr>
        <w:instrText xml:space="preserve"> MERGEFIELD  Fecha \* Lower </w:instrText>
      </w:r>
      <w:r w:rsidR="001339FC" w:rsidRPr="007D1535">
        <w:rPr>
          <w:rFonts w:ascii="Arial" w:eastAsia="Times New Roman" w:hAnsi="Arial" w:cs="Arial"/>
          <w:color w:val="FFFFFF" w:themeColor="background1"/>
          <w:sz w:val="20"/>
          <w:lang w:eastAsia="es-CO"/>
        </w:rPr>
        <w:fldChar w:fldCharType="separate"/>
      </w:r>
      <w:r w:rsidR="004A33B1">
        <w:rPr>
          <w:rFonts w:ascii="Arial" w:eastAsia="Times New Roman" w:hAnsi="Arial" w:cs="Arial"/>
          <w:noProof/>
          <w:color w:val="FFFFFF" w:themeColor="background1"/>
          <w:sz w:val="20"/>
          <w:lang w:eastAsia="es-CO"/>
        </w:rPr>
        <w:t>${</w:t>
      </w:r>
      <w:r w:rsidR="001339FC" w:rsidRPr="007D1535">
        <w:rPr>
          <w:rFonts w:ascii="Arial" w:eastAsia="Times New Roman" w:hAnsi="Arial" w:cs="Arial"/>
          <w:noProof/>
          <w:color w:val="FFFFFF" w:themeColor="background1"/>
          <w:sz w:val="20"/>
          <w:lang w:eastAsia="es-CO"/>
        </w:rPr>
        <w:t>fecha»</w:t>
      </w:r>
      <w:r w:rsidR="001339FC" w:rsidRPr="007D1535">
        <w:rPr>
          <w:rFonts w:ascii="Arial" w:eastAsia="Times New Roman" w:hAnsi="Arial" w:cs="Arial"/>
          <w:color w:val="FFFFFF" w:themeColor="background1"/>
          <w:sz w:val="20"/>
          <w:lang w:eastAsia="es-CO"/>
        </w:rPr>
        <w:fldChar w:fldCharType="end"/>
      </w:r>
    </w:p>
    <w:p w14:paraId="5741F70E" w14:textId="60E03EB4" w:rsidR="007D1535" w:rsidRDefault="007D1535" w:rsidP="007D1535">
      <w:pPr>
        <w:spacing w:after="0" w:line="240" w:lineRule="auto"/>
        <w:jc w:val="center"/>
        <w:rPr>
          <w:b/>
        </w:rPr>
      </w:pPr>
      <w:r>
        <w:rPr>
          <w:b/>
        </w:rPr>
        <w:t>ACUERDO PCSJA23-12089/C2</w:t>
      </w:r>
    </w:p>
    <w:p w14:paraId="226B94A9" w14:textId="18AFAFF3" w:rsidR="007D1535" w:rsidRDefault="007D1535" w:rsidP="007D1535">
      <w:pPr>
        <w:spacing w:after="0" w:line="240" w:lineRule="auto"/>
        <w:jc w:val="center"/>
      </w:pPr>
      <w:r>
        <w:t>14 de septiembre de 2023</w:t>
      </w:r>
    </w:p>
    <w:p w14:paraId="1432D729" w14:textId="77777777" w:rsidR="007D1535" w:rsidRDefault="007D1535" w:rsidP="007D1535">
      <w:pPr>
        <w:spacing w:after="0" w:line="259" w:lineRule="auto"/>
        <w:ind w:left="114"/>
        <w:jc w:val="center"/>
      </w:pPr>
      <w:r>
        <w:t xml:space="preserve">  </w:t>
      </w:r>
    </w:p>
    <w:p w14:paraId="7D750978" w14:textId="39A573C3" w:rsidR="007D1535" w:rsidRDefault="007D1535" w:rsidP="007D1535">
      <w:pPr>
        <w:spacing w:after="0" w:line="259" w:lineRule="auto"/>
        <w:jc w:val="center"/>
      </w:pPr>
      <w:r>
        <w:t>“Por medio del cual se suspenden términos de las actuaciones administrativas en la</w:t>
      </w:r>
    </w:p>
    <w:p w14:paraId="0DF94F09" w14:textId="1B56C560" w:rsidR="007D1535" w:rsidRDefault="007D1535" w:rsidP="007D1535">
      <w:pPr>
        <w:spacing w:after="1" w:line="240" w:lineRule="auto"/>
        <w:ind w:left="22" w:firstLine="458"/>
        <w:jc w:val="center"/>
      </w:pPr>
      <w:r>
        <w:t>Dirección Ejecutiva de Administración Judicial, en las direcciones seccionales de administración judicial y en algunas dependencias del Consejo Superior de la Judicatura y consejos seccionales de la judicatura”</w:t>
      </w:r>
    </w:p>
    <w:p w14:paraId="3059CB49" w14:textId="77777777" w:rsidR="007D1535" w:rsidRDefault="007D1535" w:rsidP="007D1535">
      <w:pPr>
        <w:spacing w:after="0" w:line="259" w:lineRule="auto"/>
        <w:ind w:left="54"/>
        <w:jc w:val="center"/>
      </w:pPr>
      <w:r>
        <w:t xml:space="preserve"> </w:t>
      </w:r>
    </w:p>
    <w:p w14:paraId="2FB8D001" w14:textId="6ADEBCEE" w:rsidR="007D1535" w:rsidRDefault="007D1535" w:rsidP="007D1535">
      <w:pPr>
        <w:spacing w:after="0" w:line="259" w:lineRule="auto"/>
      </w:pPr>
      <w:r>
        <w:rPr>
          <w:b/>
        </w:rPr>
        <w:t xml:space="preserve">  </w:t>
      </w:r>
    </w:p>
    <w:p w14:paraId="601071A1" w14:textId="77777777" w:rsidR="007D1535" w:rsidRDefault="007D1535" w:rsidP="007D1535">
      <w:pPr>
        <w:pStyle w:val="Ttulo1"/>
        <w:ind w:left="10" w:right="6"/>
      </w:pPr>
      <w:r>
        <w:t>EL CONSEJO SUPERIOR DE LA JUDICATURA</w:t>
      </w:r>
      <w:r>
        <w:rPr>
          <w:b w:val="0"/>
        </w:rPr>
        <w:t xml:space="preserve"> </w:t>
      </w:r>
    </w:p>
    <w:p w14:paraId="71E42153" w14:textId="77777777" w:rsidR="007D1535" w:rsidRDefault="007D1535" w:rsidP="007D1535">
      <w:pPr>
        <w:spacing w:after="0" w:line="259" w:lineRule="auto"/>
      </w:pPr>
      <w:r>
        <w:t xml:space="preserve"> </w:t>
      </w:r>
    </w:p>
    <w:p w14:paraId="57DF664F" w14:textId="77777777" w:rsidR="007D1535" w:rsidRDefault="007D1535" w:rsidP="007D1535">
      <w:pPr>
        <w:spacing w:line="240" w:lineRule="auto"/>
        <w:ind w:left="5"/>
      </w:pPr>
      <w:r>
        <w:t>En uso de sus facultades constitucionales y legales, en especial las conferidas por el numeral 13 del artículo 85 y el artículo 98 de la Ley 270 de 1996, de conformidad con lo aprobado en la sesión de 13 de septiembre de 2023, y</w:t>
      </w:r>
      <w:r>
        <w:rPr>
          <w:b/>
        </w:rPr>
        <w:t xml:space="preserve"> </w:t>
      </w:r>
    </w:p>
    <w:p w14:paraId="393B6D35" w14:textId="77777777" w:rsidR="007D1535" w:rsidRDefault="007D1535" w:rsidP="007D1535">
      <w:pPr>
        <w:pStyle w:val="Ttulo1"/>
        <w:ind w:left="10" w:right="12"/>
      </w:pPr>
      <w:r>
        <w:t xml:space="preserve">CONSIDERANDO </w:t>
      </w:r>
    </w:p>
    <w:p w14:paraId="37D96E82" w14:textId="77777777" w:rsidR="007D1535" w:rsidRDefault="007D1535" w:rsidP="007D1535">
      <w:pPr>
        <w:spacing w:after="0" w:line="259" w:lineRule="auto"/>
      </w:pPr>
      <w:r>
        <w:t xml:space="preserve"> </w:t>
      </w:r>
    </w:p>
    <w:p w14:paraId="2B714C6A" w14:textId="77777777" w:rsidR="007D1535" w:rsidRDefault="007D1535" w:rsidP="007D1535">
      <w:pPr>
        <w:spacing w:after="0" w:line="240" w:lineRule="auto"/>
        <w:ind w:left="5"/>
        <w:jc w:val="both"/>
      </w:pPr>
      <w:r>
        <w:t xml:space="preserve">Que IFX NETWORKS COLOMBIA S.A.S., empresa proveedora de soluciones de telecomunicaciones, presta sus servicios a distintas entidades públicas del orden nacional, entre ellas, a la Rama Judicial- Consejo Superior de la Judicatura. </w:t>
      </w:r>
    </w:p>
    <w:p w14:paraId="348D5A85" w14:textId="77777777" w:rsidR="007D1535" w:rsidRDefault="007D1535" w:rsidP="007D1535">
      <w:pPr>
        <w:spacing w:after="0" w:line="240" w:lineRule="auto"/>
        <w:jc w:val="both"/>
      </w:pPr>
      <w:r>
        <w:t xml:space="preserve"> </w:t>
      </w:r>
    </w:p>
    <w:p w14:paraId="2DD67C41" w14:textId="77777777" w:rsidR="007D1535" w:rsidRDefault="007D1535" w:rsidP="007D1535">
      <w:pPr>
        <w:spacing w:after="0" w:line="240" w:lineRule="auto"/>
        <w:ind w:left="5"/>
        <w:jc w:val="both"/>
      </w:pPr>
      <w:r>
        <w:t xml:space="preserve">Que en desarrollo del contrato 257-2022, la empresa IFX NETWORKS COLOMBIA S.A.S.  provee los servicios de infraestructura de nube privada para la operación de las </w:t>
      </w:r>
    </w:p>
    <w:p w14:paraId="18699E96" w14:textId="77777777" w:rsidR="007D1535" w:rsidRDefault="007D1535" w:rsidP="007D1535">
      <w:pPr>
        <w:spacing w:after="0" w:line="240" w:lineRule="auto"/>
        <w:ind w:left="5"/>
        <w:jc w:val="both"/>
      </w:pPr>
      <w:r>
        <w:t xml:space="preserve">soluciones tecnológicas de la Rama Judicial.  </w:t>
      </w:r>
    </w:p>
    <w:p w14:paraId="26F59338" w14:textId="77777777" w:rsidR="007D1535" w:rsidRDefault="007D1535" w:rsidP="007D1535">
      <w:pPr>
        <w:spacing w:after="0" w:line="240" w:lineRule="auto"/>
        <w:jc w:val="both"/>
      </w:pPr>
      <w:r>
        <w:t xml:space="preserve"> </w:t>
      </w:r>
    </w:p>
    <w:p w14:paraId="361DA40F" w14:textId="77777777" w:rsidR="007D1535" w:rsidRDefault="007D1535" w:rsidP="007D1535">
      <w:pPr>
        <w:spacing w:after="0" w:line="240" w:lineRule="auto"/>
        <w:ind w:left="5"/>
        <w:jc w:val="both"/>
      </w:pPr>
      <w:r>
        <w:t xml:space="preserve">Que desde las 5:00 am del 12 de septiembre de 2023, la Unidad de Informática de la Dirección Ejecutiva de Administración Judicial detectó fallas en los servicios tecnológicos alojados en la infraestructura de nube privada administrada por IFX NETWORKS COLOMBIA S.A.S.  </w:t>
      </w:r>
    </w:p>
    <w:p w14:paraId="2A2BAFB0" w14:textId="77777777" w:rsidR="007D1535" w:rsidRDefault="007D1535" w:rsidP="007D1535">
      <w:pPr>
        <w:spacing w:after="0" w:line="240" w:lineRule="auto"/>
        <w:jc w:val="both"/>
      </w:pPr>
      <w:r>
        <w:t xml:space="preserve"> </w:t>
      </w:r>
    </w:p>
    <w:p w14:paraId="68FFBD6A" w14:textId="77777777" w:rsidR="007D1535" w:rsidRDefault="007D1535" w:rsidP="007D1535">
      <w:pPr>
        <w:spacing w:after="0" w:line="240" w:lineRule="auto"/>
        <w:ind w:left="5"/>
        <w:jc w:val="both"/>
      </w:pPr>
      <w:r>
        <w:t xml:space="preserve">Que el representante legal de la empresa IFX NETWORKS COLOMBIA S.A.S., mediante comunicado del 12 de septiembre de 2023, informó a la Dirección Ejecutiva de Administración Judicial: </w:t>
      </w:r>
    </w:p>
    <w:p w14:paraId="36127A7A" w14:textId="77777777" w:rsidR="007D1535" w:rsidRDefault="007D1535" w:rsidP="007D1535">
      <w:pPr>
        <w:spacing w:after="0" w:line="240" w:lineRule="auto"/>
        <w:jc w:val="both"/>
      </w:pPr>
      <w:r>
        <w:t xml:space="preserve"> </w:t>
      </w:r>
    </w:p>
    <w:p w14:paraId="7DF17488" w14:textId="77777777" w:rsidR="007D1535" w:rsidRDefault="007D1535" w:rsidP="007D1535">
      <w:pPr>
        <w:spacing w:after="0" w:line="240" w:lineRule="auto"/>
        <w:ind w:left="708" w:right="6"/>
        <w:jc w:val="both"/>
      </w:pPr>
      <w:r>
        <w:rPr>
          <w:i/>
        </w:rPr>
        <w:t xml:space="preserve">“(…) sobre el evento presentado en algunas máquinas virtuales y en consecuencia con la disponibilidad del servicio, el cual fue originado por un ataque de </w:t>
      </w:r>
      <w:proofErr w:type="spellStart"/>
      <w:r>
        <w:rPr>
          <w:i/>
        </w:rPr>
        <w:t>ransomware</w:t>
      </w:r>
      <w:proofErr w:type="spellEnd"/>
      <w:r>
        <w:rPr>
          <w:i/>
        </w:rPr>
        <w:t xml:space="preserve">. (…)” </w:t>
      </w:r>
    </w:p>
    <w:p w14:paraId="331079EC" w14:textId="77777777" w:rsidR="007D1535" w:rsidRDefault="007D1535" w:rsidP="007D1535">
      <w:pPr>
        <w:spacing w:after="0" w:line="240" w:lineRule="auto"/>
        <w:ind w:left="708"/>
        <w:jc w:val="both"/>
      </w:pPr>
      <w:r>
        <w:rPr>
          <w:i/>
        </w:rPr>
        <w:t xml:space="preserve"> </w:t>
      </w:r>
    </w:p>
    <w:p w14:paraId="1A221799" w14:textId="77777777" w:rsidR="007D1535" w:rsidRDefault="007D1535" w:rsidP="007D1535">
      <w:pPr>
        <w:spacing w:after="0" w:line="240" w:lineRule="auto"/>
        <w:ind w:left="5"/>
        <w:jc w:val="both"/>
      </w:pPr>
      <w:r>
        <w:t xml:space="preserve">Que el 13 de septiembre de 2023, el Equipo de Respuesta a Incidentes de Seguridad de la Información (CSIRT), convocó al Proveedor IFX NETWORKS COLOMBIA S.A.S., al Consejo Superior de la Judicatura a través de la Dirección Ejecutiva de Administración Judicial, y a las otras entidades públicas del orden nacional, afectadas con el presunto ataque cibernético masivo, para enfrentar en forma conjunta la situación presentada. </w:t>
      </w:r>
    </w:p>
    <w:p w14:paraId="28EFF94A" w14:textId="77777777" w:rsidR="007D1535" w:rsidRDefault="007D1535" w:rsidP="007D1535">
      <w:pPr>
        <w:spacing w:after="955" w:line="240" w:lineRule="auto"/>
        <w:jc w:val="both"/>
      </w:pPr>
      <w:r>
        <w:t xml:space="preserve"> </w:t>
      </w:r>
    </w:p>
    <w:p w14:paraId="115C39B3" w14:textId="7D94C218" w:rsidR="007D1535" w:rsidRDefault="007D1535" w:rsidP="007D1535">
      <w:pPr>
        <w:spacing w:after="0" w:line="240" w:lineRule="auto"/>
        <w:jc w:val="both"/>
      </w:pPr>
    </w:p>
    <w:p w14:paraId="1A1E4865" w14:textId="77777777" w:rsidR="007D1535" w:rsidRDefault="007D1535" w:rsidP="007D1535">
      <w:pPr>
        <w:spacing w:after="142" w:line="240" w:lineRule="auto"/>
        <w:ind w:left="-5"/>
        <w:jc w:val="both"/>
      </w:pPr>
      <w:r>
        <w:rPr>
          <w:sz w:val="16"/>
        </w:rPr>
        <w:t xml:space="preserve">Acuerdo PCSJA23-12089/C2 de 14 de septiembre de 2023 “Por medio del cual se suspenden términos de las actuaciones administrativas en la Dirección Ejecutiva de Administración Judicial, en las direcciones seccionales de administración judicial y en algunas dependencias del Consejo Superior de la Judicatura y consejos seccionales de la judicatura” </w:t>
      </w:r>
      <w:r>
        <w:rPr>
          <w:rFonts w:ascii="Times New Roman" w:eastAsia="Times New Roman" w:hAnsi="Times New Roman" w:cs="Times New Roman"/>
          <w:sz w:val="24"/>
        </w:rPr>
        <w:t xml:space="preserve"> </w:t>
      </w:r>
    </w:p>
    <w:p w14:paraId="16CBFF4B" w14:textId="77777777" w:rsidR="007D1535" w:rsidRDefault="007D1535" w:rsidP="007D1535">
      <w:pPr>
        <w:spacing w:after="0" w:line="240" w:lineRule="auto"/>
        <w:ind w:left="5"/>
        <w:jc w:val="both"/>
      </w:pPr>
      <w:r>
        <w:t xml:space="preserve">Que el Puesto de Mando Unificado confirmó que la empresa IFX NETWORKS COLOMBIA S.A.S., sufrió un ataque de ciberseguridad externo tipo </w:t>
      </w:r>
      <w:proofErr w:type="spellStart"/>
      <w:r>
        <w:t>ransomware</w:t>
      </w:r>
      <w:proofErr w:type="spellEnd"/>
      <w:r>
        <w:t xml:space="preserve"> que afectó algunas de sus máquinas virtuales en Colombia, lo que trajo como consecuencia, la indisponibilidad en las plataformas de servicios de las entidades que tienen implementadas soluciones ofrecidas por dicha compañía. </w:t>
      </w:r>
    </w:p>
    <w:p w14:paraId="2B0DA75B" w14:textId="77777777" w:rsidR="007D1535" w:rsidRDefault="007D1535" w:rsidP="007D1535">
      <w:pPr>
        <w:spacing w:after="0" w:line="240" w:lineRule="auto"/>
        <w:jc w:val="both"/>
      </w:pPr>
      <w:r>
        <w:t xml:space="preserve"> </w:t>
      </w:r>
    </w:p>
    <w:p w14:paraId="45DA0FFF" w14:textId="77777777" w:rsidR="007D1535" w:rsidRDefault="007D1535" w:rsidP="007D1535">
      <w:pPr>
        <w:spacing w:after="0" w:line="240" w:lineRule="auto"/>
        <w:ind w:left="5"/>
        <w:jc w:val="both"/>
      </w:pPr>
      <w:r>
        <w:t xml:space="preserve">Que de acuerdo con la información suministrada por el contratista, no es posible restablecer el servicio de manera inmediata. En virtud de lo anterior, el Consejo Superior de la Judicatura considera necesario suspender los términos de los procesos de cobro coactivo y prescripción de títulos judiciales que adelantan la Dirección Ejecutiva de Administración Judicial y las direcciones seccionales de administración judicial, así como actuaciones administrativas que adelantan algunas dependencias del Consejo Superior de la Judicatura y consejos seccionales de la judicatura, con el fin de asegurar el debido proceso y demás garantías. </w:t>
      </w:r>
    </w:p>
    <w:p w14:paraId="59A47D7B" w14:textId="77777777" w:rsidR="007D1535" w:rsidRDefault="007D1535" w:rsidP="007D1535">
      <w:pPr>
        <w:spacing w:after="0" w:line="240" w:lineRule="auto"/>
        <w:jc w:val="both"/>
      </w:pPr>
      <w:r>
        <w:t xml:space="preserve"> </w:t>
      </w:r>
    </w:p>
    <w:p w14:paraId="166EBB57" w14:textId="77777777" w:rsidR="007D1535" w:rsidRDefault="007D1535" w:rsidP="007D1535">
      <w:pPr>
        <w:spacing w:after="0" w:line="240" w:lineRule="auto"/>
        <w:ind w:left="5"/>
        <w:jc w:val="both"/>
      </w:pPr>
      <w:r>
        <w:t xml:space="preserve">De conformidad con lo anteriormente expuesto,  </w:t>
      </w:r>
    </w:p>
    <w:p w14:paraId="2AD00CC3" w14:textId="707921F9" w:rsidR="007D1535" w:rsidRDefault="007D1535" w:rsidP="007D1535">
      <w:pPr>
        <w:spacing w:after="0" w:line="240" w:lineRule="auto"/>
        <w:jc w:val="both"/>
      </w:pPr>
      <w:r>
        <w:t xml:space="preserve">  </w:t>
      </w:r>
    </w:p>
    <w:p w14:paraId="0A866DC9" w14:textId="72193262" w:rsidR="007D1535" w:rsidRDefault="007D1535" w:rsidP="007D1535">
      <w:pPr>
        <w:spacing w:after="0" w:line="240" w:lineRule="auto"/>
        <w:ind w:right="10"/>
        <w:jc w:val="center"/>
        <w:rPr>
          <w:b/>
        </w:rPr>
      </w:pPr>
      <w:r>
        <w:rPr>
          <w:b/>
        </w:rPr>
        <w:t>ACUERDA:</w:t>
      </w:r>
    </w:p>
    <w:p w14:paraId="4BAECD37" w14:textId="77777777" w:rsidR="007D1535" w:rsidRDefault="007D1535" w:rsidP="007D1535">
      <w:pPr>
        <w:spacing w:after="0" w:line="240" w:lineRule="auto"/>
        <w:ind w:right="10"/>
        <w:jc w:val="center"/>
      </w:pPr>
    </w:p>
    <w:p w14:paraId="622E5C6F" w14:textId="77777777" w:rsidR="007D1535" w:rsidRDefault="007D1535" w:rsidP="007D1535">
      <w:pPr>
        <w:spacing w:after="0" w:line="240" w:lineRule="auto"/>
        <w:ind w:left="5"/>
        <w:jc w:val="both"/>
      </w:pPr>
      <w:r>
        <w:rPr>
          <w:b/>
        </w:rPr>
        <w:t xml:space="preserve">ARTÍCULO 1.  </w:t>
      </w:r>
      <w:r>
        <w:t xml:space="preserve">Suspender los términos de las actuaciones administrativas que adelantan la Dirección Ejecutiva de Administración Judicial y las direcciones seccionales de administración judicial, a partir del 14 y hasta el 20 de septiembre de 2023, inclusive, así: </w:t>
      </w:r>
    </w:p>
    <w:p w14:paraId="279CF2CE" w14:textId="77777777" w:rsidR="007D1535" w:rsidRDefault="007D1535" w:rsidP="007D1535">
      <w:pPr>
        <w:numPr>
          <w:ilvl w:val="0"/>
          <w:numId w:val="3"/>
        </w:numPr>
        <w:spacing w:after="0" w:line="240" w:lineRule="auto"/>
        <w:ind w:hanging="348"/>
        <w:jc w:val="both"/>
      </w:pPr>
      <w:r>
        <w:t xml:space="preserve">Procesos administrativos de cobro coactivo. </w:t>
      </w:r>
    </w:p>
    <w:p w14:paraId="4B1B9291" w14:textId="0C039B50" w:rsidR="007D1535" w:rsidRDefault="007D1535" w:rsidP="007D1535">
      <w:pPr>
        <w:numPr>
          <w:ilvl w:val="0"/>
          <w:numId w:val="3"/>
        </w:numPr>
        <w:spacing w:after="0" w:line="240" w:lineRule="auto"/>
        <w:ind w:hanging="348"/>
        <w:jc w:val="both"/>
      </w:pPr>
      <w:r>
        <w:t xml:space="preserve">Reclamaciones de depósitos judiciales. </w:t>
      </w:r>
    </w:p>
    <w:p w14:paraId="016A07DC" w14:textId="77777777" w:rsidR="007D1535" w:rsidRDefault="007D1535" w:rsidP="007D1535">
      <w:pPr>
        <w:numPr>
          <w:ilvl w:val="0"/>
          <w:numId w:val="3"/>
        </w:numPr>
        <w:spacing w:after="0" w:line="240" w:lineRule="auto"/>
        <w:ind w:hanging="348"/>
        <w:jc w:val="both"/>
      </w:pPr>
    </w:p>
    <w:p w14:paraId="7BD29452" w14:textId="77777777" w:rsidR="007D1535" w:rsidRDefault="007D1535" w:rsidP="007D1535">
      <w:pPr>
        <w:spacing w:after="0" w:line="240" w:lineRule="auto"/>
        <w:ind w:left="5"/>
        <w:jc w:val="both"/>
      </w:pPr>
      <w:r>
        <w:rPr>
          <w:b/>
        </w:rPr>
        <w:t>ARTÍCULO 2</w:t>
      </w:r>
      <w:r>
        <w:t xml:space="preserve">. Suspender los términos de las actuaciones administrativas que adelantan algunas dependencias del Consejo Superior de la Judicatura y consejos seccionales de la judicatura, a partir del 14 y hasta el 20 de septiembre de 2023, inclusive, así: </w:t>
      </w:r>
    </w:p>
    <w:p w14:paraId="58911136" w14:textId="77777777" w:rsidR="007D1535" w:rsidRDefault="007D1535" w:rsidP="007D1535">
      <w:pPr>
        <w:spacing w:after="0" w:line="240" w:lineRule="auto"/>
        <w:jc w:val="both"/>
      </w:pPr>
      <w:r>
        <w:t xml:space="preserve"> </w:t>
      </w:r>
    </w:p>
    <w:p w14:paraId="504E3589" w14:textId="77777777" w:rsidR="007D1535" w:rsidRDefault="007D1535" w:rsidP="007D1535">
      <w:pPr>
        <w:numPr>
          <w:ilvl w:val="0"/>
          <w:numId w:val="3"/>
        </w:numPr>
        <w:spacing w:after="0" w:line="240" w:lineRule="auto"/>
        <w:ind w:hanging="348"/>
        <w:jc w:val="both"/>
      </w:pPr>
      <w:r>
        <w:t xml:space="preserve">Vigilancias judiciales administrativas </w:t>
      </w:r>
    </w:p>
    <w:p w14:paraId="63689857" w14:textId="77777777" w:rsidR="007D1535" w:rsidRDefault="007D1535" w:rsidP="007D1535">
      <w:pPr>
        <w:numPr>
          <w:ilvl w:val="0"/>
          <w:numId w:val="3"/>
        </w:numPr>
        <w:spacing w:after="0" w:line="240" w:lineRule="auto"/>
        <w:ind w:hanging="348"/>
        <w:jc w:val="both"/>
      </w:pPr>
      <w:r>
        <w:t xml:space="preserve">Tarjetas profesionales (elaboración, certificados de vigencia, negaciones, requerimientos, duplicados).  </w:t>
      </w:r>
    </w:p>
    <w:p w14:paraId="3EA93E10" w14:textId="77777777" w:rsidR="007D1535" w:rsidRDefault="007D1535" w:rsidP="007D1535">
      <w:pPr>
        <w:numPr>
          <w:ilvl w:val="0"/>
          <w:numId w:val="3"/>
        </w:numPr>
        <w:spacing w:after="0" w:line="240" w:lineRule="auto"/>
        <w:ind w:hanging="348"/>
        <w:jc w:val="both"/>
      </w:pPr>
      <w:r>
        <w:t xml:space="preserve">Prácticas jurídicas (acreditación, negación, requerimientos).  </w:t>
      </w:r>
    </w:p>
    <w:p w14:paraId="7DBEBA55" w14:textId="77777777" w:rsidR="007D1535" w:rsidRDefault="007D1535" w:rsidP="007D1535">
      <w:pPr>
        <w:numPr>
          <w:ilvl w:val="0"/>
          <w:numId w:val="3"/>
        </w:numPr>
        <w:spacing w:after="0" w:line="240" w:lineRule="auto"/>
        <w:ind w:hanging="348"/>
        <w:jc w:val="both"/>
      </w:pPr>
      <w:r>
        <w:t xml:space="preserve">Licencias temporales (elaboración, negación, requerimientos).  </w:t>
      </w:r>
    </w:p>
    <w:p w14:paraId="18FF5CDF" w14:textId="77777777" w:rsidR="007D1535" w:rsidRDefault="007D1535" w:rsidP="007D1535">
      <w:pPr>
        <w:numPr>
          <w:ilvl w:val="0"/>
          <w:numId w:val="3"/>
        </w:numPr>
        <w:spacing w:after="0" w:line="240" w:lineRule="auto"/>
        <w:ind w:hanging="348"/>
        <w:jc w:val="both"/>
      </w:pPr>
      <w:r>
        <w:t xml:space="preserve">Jueces de paz (elaboración, actualización de listas, negación).  </w:t>
      </w:r>
    </w:p>
    <w:p w14:paraId="179A9295" w14:textId="77777777" w:rsidR="007D1535" w:rsidRDefault="007D1535" w:rsidP="007D1535">
      <w:pPr>
        <w:numPr>
          <w:ilvl w:val="0"/>
          <w:numId w:val="3"/>
        </w:numPr>
        <w:spacing w:after="0" w:line="240" w:lineRule="auto"/>
        <w:ind w:hanging="348"/>
        <w:jc w:val="both"/>
      </w:pPr>
      <w:r>
        <w:t xml:space="preserve">Sanciones, rehabilitaciones, penas accesorias (registro, ni consulta). </w:t>
      </w:r>
    </w:p>
    <w:p w14:paraId="1FF6211E" w14:textId="77777777" w:rsidR="007D1535" w:rsidRDefault="007D1535" w:rsidP="007D1535">
      <w:pPr>
        <w:numPr>
          <w:ilvl w:val="0"/>
          <w:numId w:val="3"/>
        </w:numPr>
        <w:spacing w:after="0" w:line="240" w:lineRule="auto"/>
        <w:ind w:hanging="348"/>
        <w:jc w:val="both"/>
      </w:pPr>
      <w:r>
        <w:t xml:space="preserve">Peticiones y solicitudes que actualmente se encuentren radicadas en el sistema de gestión de correspondencia y comunicaciones SIGOBius. </w:t>
      </w:r>
    </w:p>
    <w:p w14:paraId="40613E36" w14:textId="77777777" w:rsidR="007D1535" w:rsidRDefault="007D1535" w:rsidP="007D1535">
      <w:pPr>
        <w:spacing w:after="0" w:line="240" w:lineRule="auto"/>
        <w:jc w:val="both"/>
      </w:pPr>
      <w:r>
        <w:rPr>
          <w:b/>
        </w:rPr>
        <w:t xml:space="preserve"> </w:t>
      </w:r>
    </w:p>
    <w:p w14:paraId="6D9C6DF0" w14:textId="77777777" w:rsidR="007D1535" w:rsidRDefault="007D1535" w:rsidP="007D1535">
      <w:pPr>
        <w:spacing w:after="0" w:line="240" w:lineRule="auto"/>
        <w:ind w:left="5"/>
        <w:jc w:val="both"/>
      </w:pPr>
      <w:r>
        <w:rPr>
          <w:b/>
        </w:rPr>
        <w:t xml:space="preserve">ARTÍCULO 3. </w:t>
      </w:r>
      <w:r>
        <w:t xml:space="preserve">Se garantizará la recepción y radicación de peticiones y solicitudes a través del correo electrónico institucional, los medios más expeditos posibles y la atención presencial. </w:t>
      </w:r>
    </w:p>
    <w:p w14:paraId="2532859A" w14:textId="77777777" w:rsidR="007D1535" w:rsidRDefault="007D1535" w:rsidP="007D1535">
      <w:pPr>
        <w:spacing w:after="0" w:line="240" w:lineRule="auto"/>
        <w:jc w:val="both"/>
      </w:pPr>
      <w:r>
        <w:t xml:space="preserve"> </w:t>
      </w:r>
    </w:p>
    <w:p w14:paraId="1E3C30B3" w14:textId="77777777" w:rsidR="007D1535" w:rsidRDefault="007D1535" w:rsidP="007D1535">
      <w:pPr>
        <w:spacing w:after="0" w:line="240" w:lineRule="auto"/>
        <w:ind w:left="5"/>
        <w:jc w:val="both"/>
      </w:pPr>
      <w:r>
        <w:rPr>
          <w:b/>
        </w:rPr>
        <w:t>Parágrafo 1.</w:t>
      </w:r>
      <w:r>
        <w:t xml:space="preserve"> Sin perjuicio de la suspensión de términos, se mantendrán las actividades y atención presencial en todas las sedes administrativas de la Rama Judicial. </w:t>
      </w:r>
    </w:p>
    <w:p w14:paraId="06250F02" w14:textId="77777777" w:rsidR="007D1535" w:rsidRDefault="007D1535" w:rsidP="007D1535">
      <w:pPr>
        <w:spacing w:after="0" w:line="240" w:lineRule="auto"/>
        <w:jc w:val="both"/>
      </w:pPr>
      <w:r>
        <w:t xml:space="preserve"> </w:t>
      </w:r>
    </w:p>
    <w:p w14:paraId="3E079768" w14:textId="5BBC3473" w:rsidR="007D1535" w:rsidRDefault="007D1535" w:rsidP="007D1535">
      <w:pPr>
        <w:spacing w:after="0" w:line="240" w:lineRule="auto"/>
        <w:ind w:left="-5"/>
        <w:jc w:val="both"/>
        <w:rPr>
          <w:rFonts w:ascii="Times New Roman" w:eastAsia="Times New Roman" w:hAnsi="Times New Roman" w:cs="Times New Roman"/>
          <w:sz w:val="24"/>
        </w:rPr>
      </w:pPr>
      <w:r>
        <w:rPr>
          <w:sz w:val="16"/>
        </w:rPr>
        <w:lastRenderedPageBreak/>
        <w:t xml:space="preserve">Acuerdo PCSJA23-12089/C2 de 14 de septiembre de 2023 “Por medio del cual se suspenden términos de las actuaciones administrativas en la Dirección Ejecutiva de Administración Judicial, en las direcciones seccionales de administración judicial y en algunas dependencias del Consejo Superior de la Judicatura y consejos seccionales de la judicatura” </w:t>
      </w:r>
      <w:r>
        <w:rPr>
          <w:rFonts w:ascii="Times New Roman" w:eastAsia="Times New Roman" w:hAnsi="Times New Roman" w:cs="Times New Roman"/>
          <w:sz w:val="24"/>
        </w:rPr>
        <w:t xml:space="preserve"> </w:t>
      </w:r>
    </w:p>
    <w:p w14:paraId="5E34FC17" w14:textId="77777777" w:rsidR="007D1535" w:rsidRDefault="007D1535" w:rsidP="007D1535">
      <w:pPr>
        <w:spacing w:after="0" w:line="240" w:lineRule="auto"/>
        <w:ind w:left="-5"/>
        <w:jc w:val="both"/>
      </w:pPr>
    </w:p>
    <w:p w14:paraId="4448466D" w14:textId="31B7DB45" w:rsidR="007D1535" w:rsidRDefault="007D1535" w:rsidP="007D1535">
      <w:pPr>
        <w:spacing w:after="0" w:line="240" w:lineRule="auto"/>
        <w:ind w:left="5"/>
        <w:jc w:val="both"/>
      </w:pPr>
      <w:r>
        <w:rPr>
          <w:b/>
        </w:rPr>
        <w:t xml:space="preserve">Parágrafo 2.  </w:t>
      </w:r>
      <w:r>
        <w:t xml:space="preserve">En el evento en que el servicio sea restablecido antes de la fecha señalada, se levantará la suspensión de los términos mediante acto administrativo. </w:t>
      </w:r>
    </w:p>
    <w:p w14:paraId="7563A288" w14:textId="77777777" w:rsidR="007D1535" w:rsidRDefault="007D1535" w:rsidP="007D1535">
      <w:pPr>
        <w:spacing w:after="0" w:line="240" w:lineRule="auto"/>
        <w:ind w:left="5"/>
        <w:jc w:val="both"/>
      </w:pPr>
    </w:p>
    <w:p w14:paraId="23C28EAE" w14:textId="0A5F2BA7" w:rsidR="007D1535" w:rsidRDefault="007D1535" w:rsidP="007D1535">
      <w:pPr>
        <w:spacing w:after="0" w:line="240" w:lineRule="auto"/>
        <w:ind w:left="5"/>
        <w:jc w:val="both"/>
        <w:rPr>
          <w:sz w:val="28"/>
        </w:rPr>
      </w:pPr>
      <w:r>
        <w:rPr>
          <w:b/>
        </w:rPr>
        <w:t>ARTÍCULO 4</w:t>
      </w:r>
      <w:r>
        <w:t>. Los consejos seccionales de la judicatura y direcciones seccionales de administración judicial prestarán el apoyo necesario para garantizar el cumplimiento de lo establecido en el presente acuerdo.</w:t>
      </w:r>
      <w:r>
        <w:rPr>
          <w:sz w:val="28"/>
        </w:rPr>
        <w:t xml:space="preserve"> </w:t>
      </w:r>
    </w:p>
    <w:p w14:paraId="001A5D0B" w14:textId="77777777" w:rsidR="007D1535" w:rsidRDefault="007D1535" w:rsidP="007D1535">
      <w:pPr>
        <w:spacing w:after="0" w:line="240" w:lineRule="auto"/>
        <w:ind w:left="5"/>
        <w:jc w:val="both"/>
      </w:pPr>
    </w:p>
    <w:p w14:paraId="79E85CD5" w14:textId="77777777" w:rsidR="007D1535" w:rsidRDefault="007D1535" w:rsidP="007D1535">
      <w:pPr>
        <w:spacing w:after="0" w:line="240" w:lineRule="auto"/>
        <w:ind w:left="5"/>
        <w:jc w:val="both"/>
      </w:pPr>
      <w:r>
        <w:rPr>
          <w:b/>
        </w:rPr>
        <w:t xml:space="preserve">ARTÍCULO 5. </w:t>
      </w:r>
      <w:r>
        <w:t xml:space="preserve">El presente acuerdo se divulgará en todas las sedes administrativas y por los medios institucionales disponibles, para garantizar el conocimiento de todos los usuarios y la ciudadanía en general. </w:t>
      </w:r>
    </w:p>
    <w:p w14:paraId="623E5D59" w14:textId="77777777" w:rsidR="007D1535" w:rsidRDefault="007D1535" w:rsidP="007D1535">
      <w:pPr>
        <w:spacing w:after="0" w:line="240" w:lineRule="auto"/>
        <w:jc w:val="both"/>
      </w:pPr>
      <w:r>
        <w:t xml:space="preserve"> </w:t>
      </w:r>
    </w:p>
    <w:p w14:paraId="0D9016D9" w14:textId="77777777" w:rsidR="007D1535" w:rsidRDefault="007D1535" w:rsidP="007D1535">
      <w:pPr>
        <w:spacing w:after="0" w:line="240" w:lineRule="auto"/>
        <w:ind w:left="5"/>
        <w:jc w:val="both"/>
      </w:pPr>
      <w:r>
        <w:rPr>
          <w:b/>
        </w:rPr>
        <w:t xml:space="preserve">ARTÍCULO 6. </w:t>
      </w:r>
      <w:r>
        <w:t xml:space="preserve">Este acuerdo rige a partir de la fecha de su expedición.  </w:t>
      </w:r>
    </w:p>
    <w:p w14:paraId="6BC92B71" w14:textId="77777777" w:rsidR="007D1535" w:rsidRDefault="007D1535" w:rsidP="007D1535">
      <w:pPr>
        <w:spacing w:after="0" w:line="240" w:lineRule="auto"/>
        <w:jc w:val="both"/>
      </w:pPr>
      <w:r>
        <w:t xml:space="preserve"> </w:t>
      </w:r>
    </w:p>
    <w:p w14:paraId="1F947920" w14:textId="0E702B64" w:rsidR="007D1535" w:rsidRDefault="007D1535" w:rsidP="007D1535">
      <w:pPr>
        <w:spacing w:after="0" w:line="240" w:lineRule="auto"/>
        <w:ind w:right="12"/>
        <w:jc w:val="center"/>
      </w:pPr>
      <w:r>
        <w:rPr>
          <w:b/>
        </w:rPr>
        <w:t>PUBLÍQUESE, COMUNÍQUESE Y CÚMPLASE</w:t>
      </w:r>
    </w:p>
    <w:p w14:paraId="1DF789D5" w14:textId="77777777" w:rsidR="007D1535" w:rsidRDefault="007D1535" w:rsidP="007D1535">
      <w:pPr>
        <w:spacing w:after="0" w:line="240" w:lineRule="auto"/>
        <w:jc w:val="both"/>
      </w:pPr>
      <w:r>
        <w:t xml:space="preserve"> </w:t>
      </w:r>
    </w:p>
    <w:p w14:paraId="3C6F759D" w14:textId="77777777" w:rsidR="007D1535" w:rsidRDefault="007D1535" w:rsidP="007D1535">
      <w:pPr>
        <w:spacing w:after="0" w:line="240" w:lineRule="auto"/>
        <w:ind w:left="5"/>
        <w:jc w:val="both"/>
      </w:pPr>
      <w:r>
        <w:t xml:space="preserve">Dado en Bogotá, D. C., el catorce (14) de septiembre de dos mil veintitrés (2023). </w:t>
      </w:r>
    </w:p>
    <w:p w14:paraId="1AFFDB95" w14:textId="77777777" w:rsidR="007D1535" w:rsidRDefault="007D1535" w:rsidP="007D1535">
      <w:pPr>
        <w:spacing w:after="0" w:line="240" w:lineRule="auto"/>
        <w:jc w:val="both"/>
      </w:pPr>
      <w:r>
        <w:t xml:space="preserve"> </w:t>
      </w:r>
    </w:p>
    <w:p w14:paraId="298486EF" w14:textId="19611E56" w:rsidR="007D1535" w:rsidRDefault="007D1535" w:rsidP="007D1535">
      <w:pPr>
        <w:spacing w:after="0" w:line="240" w:lineRule="auto"/>
        <w:jc w:val="both"/>
      </w:pPr>
      <w:r>
        <w:t xml:space="preserve"> </w:t>
      </w:r>
      <w:r>
        <w:rPr>
          <w:b/>
        </w:rPr>
        <w:t xml:space="preserve"> </w:t>
      </w:r>
    </w:p>
    <w:p w14:paraId="5C3953F1" w14:textId="003D5E3F" w:rsidR="007D1535" w:rsidRDefault="007D1535" w:rsidP="007D1535">
      <w:pPr>
        <w:spacing w:after="0" w:line="240" w:lineRule="auto"/>
        <w:ind w:left="54"/>
        <w:jc w:val="center"/>
      </w:pPr>
    </w:p>
    <w:p w14:paraId="1E562B94" w14:textId="4D553A3C" w:rsidR="007D1535" w:rsidRDefault="007D1535" w:rsidP="007D1535">
      <w:pPr>
        <w:pStyle w:val="Ttulo1"/>
        <w:spacing w:line="240" w:lineRule="auto"/>
        <w:ind w:left="10" w:right="110"/>
      </w:pPr>
      <w:r>
        <w:t>AURELIO ENRIQUE RODRÍGUEZ GUZMÁN</w:t>
      </w:r>
    </w:p>
    <w:p w14:paraId="6AD29D3C" w14:textId="59A7E74B" w:rsidR="007D1535" w:rsidRDefault="007D1535" w:rsidP="007D1535">
      <w:pPr>
        <w:spacing w:after="0" w:line="240" w:lineRule="auto"/>
        <w:ind w:right="5"/>
        <w:jc w:val="center"/>
      </w:pPr>
      <w:r>
        <w:t>Presidente</w:t>
      </w:r>
    </w:p>
    <w:p w14:paraId="2CE70A26" w14:textId="77777777" w:rsidR="007D1535" w:rsidRDefault="007D1535" w:rsidP="007D1535">
      <w:pPr>
        <w:spacing w:after="0" w:line="240" w:lineRule="auto"/>
        <w:ind w:left="-5"/>
        <w:jc w:val="both"/>
      </w:pPr>
      <w:r>
        <w:rPr>
          <w:sz w:val="16"/>
        </w:rPr>
        <w:t xml:space="preserve">PCSJ/JAGT/MMBD </w:t>
      </w:r>
    </w:p>
    <w:sectPr w:rsidR="007D1535"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7D1535" w:rsidRDefault="007D1535" w:rsidP="00D063FB">
      <w:pPr>
        <w:spacing w:after="0" w:line="240" w:lineRule="auto"/>
      </w:pPr>
      <w:r>
        <w:separator/>
      </w:r>
    </w:p>
  </w:endnote>
  <w:endnote w:type="continuationSeparator" w:id="0">
    <w:p w14:paraId="630AED6E" w14:textId="77777777" w:rsidR="007D1535" w:rsidRDefault="007D153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7D1535" w14:paraId="4993D79B" w14:textId="77777777" w:rsidTr="00EC174D">
      <w:trPr>
        <w:trHeight w:val="512"/>
      </w:trPr>
      <w:tc>
        <w:tcPr>
          <w:tcW w:w="7239" w:type="dxa"/>
          <w:vAlign w:val="center"/>
        </w:tcPr>
        <w:p w14:paraId="23BD6120" w14:textId="5CDDCB4F" w:rsidR="007D1535" w:rsidRDefault="007D153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4A33B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4A33B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7D1535" w:rsidRDefault="007D153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7D1535" w:rsidRDefault="007D1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7D1535" w:rsidRDefault="007D1535" w:rsidP="00D063FB">
      <w:pPr>
        <w:spacing w:after="0" w:line="240" w:lineRule="auto"/>
      </w:pPr>
      <w:r>
        <w:separator/>
      </w:r>
    </w:p>
  </w:footnote>
  <w:footnote w:type="continuationSeparator" w:id="0">
    <w:p w14:paraId="7A3E69E1" w14:textId="77777777" w:rsidR="007D1535" w:rsidRDefault="007D153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7D1535" w14:paraId="5D9434A2" w14:textId="77777777" w:rsidTr="001032C3">
      <w:trPr>
        <w:trHeight w:hRule="exact" w:val="665"/>
      </w:trPr>
      <w:tc>
        <w:tcPr>
          <w:tcW w:w="3501" w:type="dxa"/>
          <w:vMerge w:val="restart"/>
        </w:tcPr>
        <w:p w14:paraId="79E13EE8" w14:textId="77777777" w:rsidR="007D1535" w:rsidRDefault="007D153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7D1535" w:rsidRDefault="007D1535" w:rsidP="00D063FB">
          <w:pPr>
            <w:spacing w:after="0" w:line="1" w:lineRule="auto"/>
            <w:rPr>
              <w:sz w:val="2"/>
            </w:rPr>
          </w:pPr>
        </w:p>
      </w:tc>
      <w:tc>
        <w:tcPr>
          <w:tcW w:w="5440" w:type="dxa"/>
        </w:tcPr>
        <w:p w14:paraId="4DA211DD" w14:textId="77777777" w:rsidR="007D1535" w:rsidRDefault="007D1535" w:rsidP="00D063FB">
          <w:pPr>
            <w:spacing w:after="0" w:line="1" w:lineRule="auto"/>
            <w:rPr>
              <w:sz w:val="2"/>
            </w:rPr>
          </w:pPr>
        </w:p>
      </w:tc>
    </w:tr>
    <w:tr w:rsidR="007D1535" w14:paraId="3144A335" w14:textId="77777777" w:rsidTr="001032C3">
      <w:trPr>
        <w:trHeight w:hRule="exact" w:val="485"/>
      </w:trPr>
      <w:tc>
        <w:tcPr>
          <w:tcW w:w="3501" w:type="dxa"/>
          <w:vMerge/>
        </w:tcPr>
        <w:p w14:paraId="19B41387" w14:textId="77777777" w:rsidR="007D1535" w:rsidRDefault="007D1535" w:rsidP="00D063FB">
          <w:pPr>
            <w:spacing w:after="0" w:line="1" w:lineRule="auto"/>
            <w:rPr>
              <w:sz w:val="2"/>
            </w:rPr>
          </w:pPr>
        </w:p>
      </w:tc>
      <w:tc>
        <w:tcPr>
          <w:tcW w:w="29" w:type="dxa"/>
        </w:tcPr>
        <w:p w14:paraId="2C5DF25E" w14:textId="77777777" w:rsidR="007D1535" w:rsidRDefault="007D1535" w:rsidP="00D063FB">
          <w:pPr>
            <w:spacing w:after="0" w:line="1" w:lineRule="auto"/>
            <w:rPr>
              <w:sz w:val="2"/>
            </w:rPr>
          </w:pPr>
        </w:p>
      </w:tc>
      <w:tc>
        <w:tcPr>
          <w:tcW w:w="5440" w:type="dxa"/>
          <w:vAlign w:val="center"/>
        </w:tcPr>
        <w:p w14:paraId="53DA9DC5" w14:textId="77777777" w:rsidR="007D1535" w:rsidRDefault="007D153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1DCD273" w:rsidR="007D1535" w:rsidRDefault="007D153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A33B1">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4A33B1">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7D1535" w:rsidRDefault="007D1535" w:rsidP="00CD5892">
    <w:pPr>
      <w:pStyle w:val="Sinespaciado"/>
      <w:rPr>
        <w:rFonts w:ascii="Arial" w:hAnsi="Arial" w:cs="Arial"/>
      </w:rPr>
    </w:pPr>
  </w:p>
  <w:p w14:paraId="7116F61D" w14:textId="77777777" w:rsidR="007D1535" w:rsidRPr="00CD5892" w:rsidRDefault="007D153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253978"/>
    <w:multiLevelType w:val="hybridMultilevel"/>
    <w:tmpl w:val="B9AC31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ECC83D"/>
    <w:multiLevelType w:val="hybridMultilevel"/>
    <w:tmpl w:val="73A369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70405DB"/>
    <w:multiLevelType w:val="hybridMultilevel"/>
    <w:tmpl w:val="BADC377E"/>
    <w:lvl w:ilvl="0" w:tplc="5D18C984">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F847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48E6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4231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ECD3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2AC4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700F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DA7E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AA4F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87116107">
    <w:abstractNumId w:val="1"/>
  </w:num>
  <w:num w:numId="2" w16cid:durableId="1944802487">
    <w:abstractNumId w:val="0"/>
  </w:num>
  <w:num w:numId="3" w16cid:durableId="38286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A33B1"/>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235C"/>
    <w:rsid w:val="006E76CA"/>
    <w:rsid w:val="006F13D5"/>
    <w:rsid w:val="006F6036"/>
    <w:rsid w:val="006F78B1"/>
    <w:rsid w:val="00737AAF"/>
    <w:rsid w:val="00743B25"/>
    <w:rsid w:val="00777EBA"/>
    <w:rsid w:val="0078290E"/>
    <w:rsid w:val="00785657"/>
    <w:rsid w:val="0078684B"/>
    <w:rsid w:val="00793172"/>
    <w:rsid w:val="007B29B8"/>
    <w:rsid w:val="007B3090"/>
    <w:rsid w:val="007C3ECD"/>
    <w:rsid w:val="007D1535"/>
    <w:rsid w:val="0080313A"/>
    <w:rsid w:val="00811BA0"/>
    <w:rsid w:val="008255EB"/>
    <w:rsid w:val="00831A7C"/>
    <w:rsid w:val="00834C3B"/>
    <w:rsid w:val="00844316"/>
    <w:rsid w:val="008D0B4E"/>
    <w:rsid w:val="008F7DD4"/>
    <w:rsid w:val="009140C7"/>
    <w:rsid w:val="0091470F"/>
    <w:rsid w:val="00932301"/>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40F2A"/>
    <w:rsid w:val="00D41622"/>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paragraph" w:styleId="Ttulo1">
    <w:name w:val="heading 1"/>
    <w:next w:val="Normal"/>
    <w:link w:val="Ttulo1Car"/>
    <w:uiPriority w:val="9"/>
    <w:qFormat/>
    <w:rsid w:val="007D1535"/>
    <w:pPr>
      <w:keepNext/>
      <w:keepLines/>
      <w:spacing w:after="0" w:line="259" w:lineRule="auto"/>
      <w:ind w:left="2840" w:right="2469" w:hanging="10"/>
      <w:jc w:val="center"/>
      <w:outlineLvl w:val="0"/>
    </w:pPr>
    <w:rPr>
      <w:rFonts w:ascii="Arial" w:eastAsia="Arial" w:hAnsi="Arial" w:cs="Arial"/>
      <w:b/>
      <w:color w:val="000000"/>
      <w:kern w:val="2"/>
      <w:lang w:eastAsia="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Default">
    <w:name w:val="Default"/>
    <w:rsid w:val="00932301"/>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7D1535"/>
    <w:rPr>
      <w:rFonts w:ascii="Arial" w:eastAsia="Arial" w:hAnsi="Arial" w:cs="Arial"/>
      <w:b/>
      <w:color w:val="000000"/>
      <w:kern w:val="2"/>
      <w:lang w:eastAsia="es-C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E3D1-CF69-4A9D-B9F9-EF56AED2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987</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4</cp:revision>
  <cp:lastPrinted>2020-02-27T16:19:00Z</cp:lastPrinted>
  <dcterms:created xsi:type="dcterms:W3CDTF">2023-09-21T15:45:00Z</dcterms:created>
  <dcterms:modified xsi:type="dcterms:W3CDTF">2023-10-30T15:52:00Z</dcterms:modified>
</cp:coreProperties>
</file>