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5EEB8237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65414AE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Pr="00F23216">
        <w:rPr>
          <w:rFonts w:ascii="Century Gothic" w:hAnsi="Century Gothic" w:cs="Century Gothic"/>
          <w:color w:val="000000"/>
          <w:sz w:val="24"/>
          <w:szCs w:val="24"/>
        </w:rPr>
        <w:t>ÁREA JURÍDICA</w:t>
      </w:r>
    </w:p>
    <w:p w14:paraId="6B6A782D" w14:textId="18CABB0E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1B11AA" w:rsidRPr="001B11AA">
        <w:rPr>
          <w:rFonts w:ascii="Century Gothic" w:hAnsi="Century Gothic" w:cs="Century Gothic"/>
          <w:color w:val="000000"/>
          <w:sz w:val="24"/>
          <w:szCs w:val="24"/>
        </w:rPr>
        <w:t>GRUPO APOYO LEGAL Y COBRO COACTIVO</w:t>
      </w:r>
    </w:p>
    <w:p w14:paraId="500AE2DC" w14:textId="77777777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47001-1290-000-2024-00049-00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MERCEDES MARIA MEJIA DE COTES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Cédula de Ciudadanía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39086978</w:t>
      </w:r>
    </w:p>
    <w:p w14:paraId="2A1E9593" w14:textId="1387EDBC" w:rsidR="0051506D" w:rsidRPr="009A3559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REINTEGRO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59D22882" w14:textId="7077FDDA" w:rsidR="008B4B47" w:rsidRPr="003122EB" w:rsidRDefault="008B4B47" w:rsidP="008B4B47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V/R.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C4023">
        <w:rPr>
          <w:rFonts w:ascii="Arial" w:eastAsia="Times New Roman" w:hAnsi="Arial" w:cs="Arial"/>
          <w:b/>
          <w:sz w:val="24"/>
          <w:szCs w:val="24"/>
          <w:lang w:eastAsia="es-CO"/>
        </w:rPr>
        <w:t>Obligación</w:t>
      </w:r>
      <w:r w:rsidR="0023416C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="0023416C" w:rsidRPr="009A3559">
        <w:rPr>
          <w:rFonts w:ascii="Arial" w:eastAsia="Times New Roman" w:hAnsi="Arial" w:cs="Arial"/>
          <w:bCs/>
          <w:sz w:val="24"/>
          <w:szCs w:val="24"/>
          <w:lang w:eastAsia="es-CO"/>
        </w:rPr>
        <w:t>$ 270.245,00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5B46332D" w14:textId="6EE00CE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E37562">
              <w:rPr>
                <w:rFonts w:ascii="Arial" w:eastAsia="Times New Roman" w:hAnsi="Arial" w:cs="Arial"/>
                <w:b/>
                <w:lang w:eastAsia="es-CO"/>
              </w:rPr>
              <w:t>Autoridad Sancionadora:</w:t>
            </w:r>
          </w:p>
        </w:tc>
        <w:tc>
          <w:tcPr>
            <w:tcW w:w="5289" w:type="dxa"/>
          </w:tcPr>
          <w:p w14:paraId="2F262209" w14:textId="15A8568D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RECURSOS HUMANOS SANTA MARTA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4E6A883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22/04/2024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0A2ADBA5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02/07/2024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47001-1290-000-2024-00049-00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Carrera 2 A No 19-10  Antigua Escuela Anita Diaz Padilla   Tel Cel. 3222344185    juridsmta@cendoj.ramajudicial.gov.co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70188816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SANTA MARTA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939A0"/>
    <w:rsid w:val="005A7890"/>
    <w:rsid w:val="005B2CFD"/>
    <w:rsid w:val="005D56D1"/>
    <w:rsid w:val="006307D2"/>
    <w:rsid w:val="00633437"/>
    <w:rsid w:val="00636A01"/>
    <w:rsid w:val="00655A4A"/>
    <w:rsid w:val="006C4995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16</cp:revision>
  <cp:lastPrinted>2022-02-22T21:16:00Z</cp:lastPrinted>
  <dcterms:created xsi:type="dcterms:W3CDTF">2022-03-17T14:53:00Z</dcterms:created>
  <dcterms:modified xsi:type="dcterms:W3CDTF">2024-02-23T15:20:00Z</dcterms:modified>
</cp:coreProperties>
</file>