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27 de diciembre de 2023</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DEAJGCC23-12058</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11001079000020230051300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COMISIÓN NACIONAL DE DISCIPLINA JUDICIAL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20 de septiembre de 2023</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STELLA VANEGAS DE PERILLA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40365482</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SETECIENTOS OCHENTA Y UN MIL DOSCIENTOS CUARENTA Y DOS PESOS M/CTE </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781242</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 la señora</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STELLA VANEGAS DE PERILLA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identificada</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40365482</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SETECIENTOS OCHENTA Y UN MIL DOSCIENTOS CUARENTA Y DOS PESOS M/CTE </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781242</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JAMES OSORIO ROMERO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 la señora</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STELLA VANEGAS DE PERILLA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identificada</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40365482</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11001079000020230051300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DEAJGCC23-12058</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27 de diciembre de 2023</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DEAJGCC23-12058</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