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7155" w:rsidRDefault="00677155">
      <w:pPr>
        <w:rPr>
          <w:lang w:val="es-MX"/>
        </w:rPr>
      </w:pPr>
    </w:p>
    <w:tbl>
      <w:tblPr>
        <w:tblpPr w:leftFromText="141" w:rightFromText="141" w:vertAnchor="text" w:horzAnchor="page" w:tblpX="8533" w:tblpY="212"/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2911"/>
      </w:tblGrid>
      <w:tr w:rsidR="001A4670" w:rsidTr="001A4670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2911" w:type="dxa"/>
          </w:tcPr>
          <w:p w:rsidR="001A4670" w:rsidRDefault="001A4670" w:rsidP="001A4670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06092018REF- 012 </w:t>
            </w:r>
          </w:p>
        </w:tc>
      </w:tr>
      <w:tr w:rsidR="001A4670" w:rsidTr="001A4670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2911" w:type="dxa"/>
          </w:tcPr>
          <w:p w:rsidR="001A4670" w:rsidRDefault="001A4670" w:rsidP="001A4670">
            <w:pPr>
              <w:pStyle w:val="Default"/>
            </w:pPr>
          </w:p>
        </w:tc>
      </w:tr>
      <w:tr w:rsidR="001A4670" w:rsidTr="001A4670">
        <w:tblPrEx>
          <w:tblCellMar>
            <w:top w:w="0" w:type="dxa"/>
            <w:bottom w:w="0" w:type="dxa"/>
          </w:tblCellMar>
        </w:tblPrEx>
        <w:trPr>
          <w:trHeight w:val="81"/>
        </w:trPr>
        <w:tc>
          <w:tcPr>
            <w:tcW w:w="2911" w:type="dxa"/>
          </w:tcPr>
          <w:p w:rsidR="001A4670" w:rsidRDefault="001A4670" w:rsidP="001A4670">
            <w:pPr>
              <w:pStyle w:val="Default"/>
            </w:pPr>
          </w:p>
        </w:tc>
      </w:tr>
    </w:tbl>
    <w:p w:rsidR="001A4670" w:rsidRDefault="001A4670">
      <w:pPr>
        <w:rPr>
          <w:lang w:val="es-MX"/>
        </w:rPr>
      </w:pPr>
      <w:bookmarkStart w:id="0" w:name="_GoBack"/>
      <w:bookmarkEnd w:id="0"/>
    </w:p>
    <w:p w:rsidR="009B42ED" w:rsidRDefault="009B42ED" w:rsidP="009B42ED">
      <w:pPr>
        <w:rPr>
          <w:b/>
          <w:bCs/>
          <w:sz w:val="40"/>
          <w:szCs w:val="40"/>
        </w:rPr>
      </w:pPr>
    </w:p>
    <w:p w:rsidR="009F1905" w:rsidRPr="009B42ED" w:rsidRDefault="009B42ED" w:rsidP="009B42ED">
      <w:pPr>
        <w:jc w:val="center"/>
        <w:rPr>
          <w:b/>
          <w:bCs/>
          <w:sz w:val="40"/>
          <w:szCs w:val="40"/>
        </w:rPr>
      </w:pPr>
      <w:r w:rsidRPr="009B42ED">
        <w:rPr>
          <w:b/>
          <w:bCs/>
          <w:sz w:val="40"/>
          <w:szCs w:val="40"/>
        </w:rPr>
        <w:t>LA</w:t>
      </w:r>
      <w:r>
        <w:rPr>
          <w:b/>
          <w:bCs/>
          <w:sz w:val="40"/>
          <w:szCs w:val="40"/>
        </w:rPr>
        <w:t>VADOR DE RODILLOS Y MANTILLAS WA</w:t>
      </w:r>
      <w:r w:rsidRPr="009B42ED">
        <w:rPr>
          <w:b/>
          <w:bCs/>
          <w:sz w:val="40"/>
          <w:szCs w:val="40"/>
        </w:rPr>
        <w:t>SH DK</w:t>
      </w:r>
    </w:p>
    <w:p w:rsidR="001A4670" w:rsidRPr="009B42ED" w:rsidRDefault="009F1905" w:rsidP="009F1905">
      <w:pPr>
        <w:jc w:val="center"/>
        <w:rPr>
          <w:b/>
          <w:bCs/>
          <w:sz w:val="32"/>
          <w:szCs w:val="32"/>
        </w:rPr>
      </w:pPr>
      <w:r w:rsidRPr="009B42ED">
        <w:rPr>
          <w:b/>
          <w:bCs/>
          <w:sz w:val="32"/>
          <w:szCs w:val="32"/>
        </w:rPr>
        <w:t xml:space="preserve">  </w:t>
      </w:r>
      <w:r w:rsidR="001A4670" w:rsidRPr="009B42ED">
        <w:rPr>
          <w:b/>
          <w:bCs/>
          <w:sz w:val="32"/>
          <w:szCs w:val="32"/>
        </w:rPr>
        <w:t>FICHA T ÉCNICA</w:t>
      </w:r>
    </w:p>
    <w:p w:rsidR="009F1905" w:rsidRDefault="009F1905" w:rsidP="009F1905">
      <w:pPr>
        <w:pStyle w:val="Default"/>
      </w:pPr>
    </w:p>
    <w:tbl>
      <w:tblPr>
        <w:tblW w:w="9682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682"/>
      </w:tblGrid>
      <w:tr w:rsidR="009F1905" w:rsidTr="009F1905">
        <w:tblPrEx>
          <w:tblCellMar>
            <w:top w:w="0" w:type="dxa"/>
            <w:bottom w:w="0" w:type="dxa"/>
          </w:tblCellMar>
        </w:tblPrEx>
        <w:trPr>
          <w:trHeight w:val="1303"/>
        </w:trPr>
        <w:tc>
          <w:tcPr>
            <w:tcW w:w="9682" w:type="dxa"/>
          </w:tcPr>
          <w:p w:rsidR="009F1905" w:rsidRDefault="009F1905" w:rsidP="009F1905">
            <w:pPr>
              <w:pStyle w:val="Defaul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Es un producto </w:t>
            </w:r>
            <w:r>
              <w:rPr>
                <w:sz w:val="22"/>
                <w:szCs w:val="22"/>
              </w:rPr>
              <w:t xml:space="preserve">diseñado para limpieza de mantillas y baterías, reemplaza a solventes peligrosos y contaminantes como la gasolina, mezclas de gasolina, petróleo, </w:t>
            </w:r>
            <w:proofErr w:type="spellStart"/>
            <w:r>
              <w:rPr>
                <w:sz w:val="22"/>
                <w:szCs w:val="22"/>
              </w:rPr>
              <w:t>Varsol</w:t>
            </w:r>
            <w:proofErr w:type="spellEnd"/>
            <w:r>
              <w:rPr>
                <w:sz w:val="22"/>
                <w:szCs w:val="22"/>
              </w:rPr>
              <w:t>, aguarrás, etc. Está formulado con solventes orgánicos, aceites vegetales y tensos activos no iónic</w:t>
            </w:r>
            <w:r>
              <w:rPr>
                <w:sz w:val="22"/>
                <w:szCs w:val="22"/>
              </w:rPr>
              <w:t>os, es un producto hidrosoluble.</w:t>
            </w:r>
          </w:p>
          <w:p w:rsidR="009F1905" w:rsidRDefault="009F1905" w:rsidP="009F1905">
            <w:pPr>
              <w:pStyle w:val="Default"/>
              <w:rPr>
                <w:sz w:val="22"/>
                <w:szCs w:val="22"/>
              </w:rPr>
            </w:pPr>
          </w:p>
          <w:p w:rsidR="009F1905" w:rsidRDefault="009F1905" w:rsidP="009F1905">
            <w:pPr>
              <w:pStyle w:val="Default"/>
              <w:rPr>
                <w:sz w:val="22"/>
                <w:szCs w:val="22"/>
              </w:rPr>
            </w:pPr>
          </w:p>
        </w:tc>
      </w:tr>
    </w:tbl>
    <w:p w:rsidR="009B42ED" w:rsidRDefault="009F1905" w:rsidP="009F1905">
      <w:pPr>
        <w:pStyle w:val="Default"/>
        <w:rPr>
          <w:lang w:val="es-MX"/>
        </w:rPr>
      </w:pPr>
      <w:r>
        <w:rPr>
          <w:noProof/>
          <w:lang w:eastAsia="es-CO"/>
        </w:rPr>
        <w:drawing>
          <wp:inline distT="0" distB="0" distL="0" distR="0" wp14:anchorId="570C9C2D" wp14:editId="19D0453D">
            <wp:extent cx="5612130" cy="3196590"/>
            <wp:effectExtent l="0" t="0" r="7620" b="381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96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B42ED" w:rsidRDefault="009B42ED" w:rsidP="009F1905">
      <w:pPr>
        <w:pStyle w:val="Default"/>
        <w:rPr>
          <w:lang w:val="es-MX"/>
        </w:rPr>
      </w:pPr>
    </w:p>
    <w:p w:rsidR="009B42ED" w:rsidRDefault="009B42ED" w:rsidP="009F1905">
      <w:pPr>
        <w:pStyle w:val="Default"/>
        <w:rPr>
          <w:lang w:val="es-MX"/>
        </w:rPr>
      </w:pPr>
    </w:p>
    <w:p w:rsidR="009F1905" w:rsidRPr="009F1905" w:rsidRDefault="009F1905" w:rsidP="009F1905">
      <w:pPr>
        <w:pStyle w:val="Default"/>
      </w:pPr>
      <w:r>
        <w:rPr>
          <w:lang w:val="es-MX"/>
        </w:rPr>
        <w:t xml:space="preserve">  </w:t>
      </w:r>
    </w:p>
    <w:tbl>
      <w:tblPr>
        <w:tblW w:w="9283" w:type="dxa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9283"/>
      </w:tblGrid>
      <w:tr w:rsidR="009F1905" w:rsidRPr="009F1905" w:rsidTr="009F1905">
        <w:tblPrEx>
          <w:tblCellMar>
            <w:top w:w="0" w:type="dxa"/>
            <w:bottom w:w="0" w:type="dxa"/>
          </w:tblCellMar>
        </w:tblPrEx>
        <w:trPr>
          <w:trHeight w:val="1118"/>
        </w:trPr>
        <w:tc>
          <w:tcPr>
            <w:tcW w:w="9283" w:type="dxa"/>
          </w:tcPr>
          <w:p w:rsidR="009F1905" w:rsidRPr="009F1905" w:rsidRDefault="009F1905" w:rsidP="009F1905">
            <w:pPr>
              <w:autoSpaceDE w:val="0"/>
              <w:autoSpaceDN w:val="0"/>
              <w:adjustRightInd w:val="0"/>
              <w:spacing w:after="0" w:line="240" w:lineRule="auto"/>
              <w:rPr>
                <w:rFonts w:ascii="Century Gothic" w:hAnsi="Century Gothic" w:cs="Century Gothic"/>
                <w:color w:val="000000"/>
              </w:rPr>
            </w:pPr>
            <w:r w:rsidRPr="009F1905">
              <w:rPr>
                <w:rFonts w:ascii="Century Gothic" w:hAnsi="Century Gothic" w:cs="Century Gothic"/>
                <w:color w:val="000000"/>
                <w:sz w:val="24"/>
                <w:szCs w:val="24"/>
              </w:rPr>
              <w:t xml:space="preserve"> </w:t>
            </w:r>
            <w:r w:rsidRPr="009F1905">
              <w:rPr>
                <w:rFonts w:ascii="Century Gothic" w:hAnsi="Century Gothic" w:cs="Century Gothic"/>
                <w:b/>
                <w:bCs/>
                <w:color w:val="000000"/>
                <w:sz w:val="23"/>
                <w:szCs w:val="23"/>
              </w:rPr>
              <w:t xml:space="preserve">FORMA DE USO: </w:t>
            </w:r>
            <w:r w:rsidRPr="009F1905">
              <w:rPr>
                <w:rFonts w:ascii="Century Gothic" w:hAnsi="Century Gothic" w:cs="Century Gothic"/>
                <w:color w:val="000000"/>
              </w:rPr>
              <w:t>La volatilidad y alto punt</w:t>
            </w:r>
            <w:r w:rsidR="009B42ED">
              <w:rPr>
                <w:rFonts w:ascii="Century Gothic" w:hAnsi="Century Gothic" w:cs="Century Gothic"/>
                <w:color w:val="000000"/>
              </w:rPr>
              <w:t>o de inflamación</w:t>
            </w:r>
            <w:r w:rsidRPr="009F1905">
              <w:rPr>
                <w:rFonts w:ascii="Century Gothic" w:hAnsi="Century Gothic" w:cs="Century Gothic"/>
                <w:color w:val="000000"/>
              </w:rPr>
              <w:t xml:space="preserve"> le permite actuar con seguridad en la remoción de tintas litográficas, en baterías de impresión, mantillas y planchas, mediante un fenómeno físico-químico de humectación y dilución, sin generar riesgos de explosión o inflamación en el respectivo proceso de limpieza. </w:t>
            </w:r>
          </w:p>
        </w:tc>
      </w:tr>
    </w:tbl>
    <w:p w:rsidR="001A4670" w:rsidRDefault="001A4670" w:rsidP="001A4670">
      <w:pPr>
        <w:rPr>
          <w:lang w:val="es-MX"/>
        </w:rPr>
      </w:pPr>
    </w:p>
    <w:p w:rsidR="009F1905" w:rsidRDefault="009F1905" w:rsidP="001A4670">
      <w:pPr>
        <w:rPr>
          <w:lang w:val="es-MX"/>
        </w:rPr>
      </w:pPr>
    </w:p>
    <w:p w:rsidR="009F1905" w:rsidRDefault="009F1905" w:rsidP="001A4670">
      <w:pPr>
        <w:rPr>
          <w:lang w:val="es-MX"/>
        </w:rPr>
      </w:pPr>
    </w:p>
    <w:p w:rsidR="009B42ED" w:rsidRDefault="009B42ED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b/>
          <w:bCs/>
          <w:color w:val="000000"/>
        </w:rPr>
      </w:pP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b/>
          <w:bCs/>
          <w:color w:val="000000"/>
        </w:rPr>
        <w:t xml:space="preserve">INFORMACION Y </w:t>
      </w:r>
      <w:r w:rsidR="009B42ED">
        <w:rPr>
          <w:rFonts w:ascii="Century Gothic" w:hAnsi="Century Gothic" w:cs="Century Gothic"/>
          <w:b/>
          <w:bCs/>
          <w:color w:val="000000"/>
        </w:rPr>
        <w:t>ASESORIA TECNICA PARA EL USO DEL LIMPIADOR</w:t>
      </w:r>
      <w:r w:rsidRPr="009F1905">
        <w:rPr>
          <w:rFonts w:ascii="Century Gothic" w:hAnsi="Century Gothic" w:cs="Century Gothic"/>
          <w:b/>
          <w:bCs/>
          <w:color w:val="000000"/>
        </w:rPr>
        <w:t xml:space="preserve">, EN EL LAVADO DE BATERIAS, PLANCHAS Y MANTILLAS </w:t>
      </w:r>
    </w:p>
    <w:p w:rsidR="009F1905" w:rsidRDefault="009F1905" w:rsidP="001A4670">
      <w:pPr>
        <w:rPr>
          <w:lang w:val="es-MX"/>
        </w:rPr>
      </w:pP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b/>
          <w:bCs/>
          <w:color w:val="000000"/>
        </w:rPr>
        <w:t xml:space="preserve">LAVADO DE BATERIAS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1) Colocar el lavador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2) Aplicar </w:t>
      </w:r>
      <w:r w:rsidR="009B42ED">
        <w:rPr>
          <w:rFonts w:ascii="Century Gothic" w:hAnsi="Century Gothic" w:cs="Century Gothic"/>
          <w:color w:val="000000"/>
        </w:rPr>
        <w:t>limpiador</w:t>
      </w:r>
      <w:r w:rsidRPr="009F1905">
        <w:rPr>
          <w:rFonts w:ascii="Century Gothic" w:hAnsi="Century Gothic" w:cs="Century Gothic"/>
          <w:color w:val="000000"/>
        </w:rPr>
        <w:t xml:space="preserve"> puro sobre los rodillos de la batería, utilizando un recipiente con abertura pequeña (sugerido 50c.c.)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3) Activar la maquinaria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4) Esperar primer lavado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5) Aplicar por segunda vez </w:t>
      </w:r>
      <w:r w:rsidR="009B42ED">
        <w:rPr>
          <w:rFonts w:ascii="Century Gothic" w:hAnsi="Century Gothic" w:cs="Century Gothic"/>
          <w:color w:val="000000"/>
        </w:rPr>
        <w:t>limpiador</w:t>
      </w:r>
      <w:r w:rsidRPr="009F1905">
        <w:rPr>
          <w:rFonts w:ascii="Century Gothic" w:hAnsi="Century Gothic" w:cs="Century Gothic"/>
          <w:color w:val="000000"/>
        </w:rPr>
        <w:t xml:space="preserve"> si fuese necesario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6) Aplicar una pequeña cantidad de agua para el enjuague y dejar secar bien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7) Verificar limpieza y no presencia de grasa sobre la superficie del caucho.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NOTA: El agua es muy necesaria para generar la </w:t>
      </w:r>
      <w:proofErr w:type="spellStart"/>
      <w:r w:rsidRPr="009F1905">
        <w:rPr>
          <w:rFonts w:ascii="Century Gothic" w:hAnsi="Century Gothic" w:cs="Century Gothic"/>
          <w:color w:val="000000"/>
        </w:rPr>
        <w:t>hidrosolubilización</w:t>
      </w:r>
      <w:proofErr w:type="spellEnd"/>
      <w:r w:rsidRPr="009F1905">
        <w:rPr>
          <w:rFonts w:ascii="Century Gothic" w:hAnsi="Century Gothic" w:cs="Century Gothic"/>
          <w:color w:val="000000"/>
        </w:rPr>
        <w:t xml:space="preserve"> de tintas.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b/>
          <w:bCs/>
          <w:color w:val="000000"/>
        </w:rPr>
        <w:t xml:space="preserve">LAVADO DE MANTILLAS Y PLANCHAS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1) Utiliza un trapo limpio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2) Humedecerlo de tal manera que no escurra el agua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3) Aplicar </w:t>
      </w:r>
      <w:r w:rsidR="009B42ED">
        <w:rPr>
          <w:rFonts w:ascii="Century Gothic" w:hAnsi="Century Gothic" w:cs="Century Gothic"/>
          <w:color w:val="000000"/>
        </w:rPr>
        <w:t xml:space="preserve">limpiador </w:t>
      </w:r>
      <w:r w:rsidRPr="009F1905">
        <w:rPr>
          <w:rFonts w:ascii="Century Gothic" w:hAnsi="Century Gothic" w:cs="Century Gothic"/>
          <w:color w:val="000000"/>
        </w:rPr>
        <w:t xml:space="preserve"> sobre la superficie húmeda del trapo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4) Proceder con la limpieza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5) Verificar ausencia de grasa sobre la superficie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6) Finalizar limpieza con un trapo seco o una esponja húmeda bien escurrida y pasar sobre la mantilla y plancha. </w:t>
      </w: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</w:rPr>
        <w:t xml:space="preserve">NOTA: Recuerde que el agua es muy necesaria para generar la </w:t>
      </w:r>
      <w:proofErr w:type="spellStart"/>
      <w:r w:rsidRPr="009F1905">
        <w:rPr>
          <w:rFonts w:ascii="Century Gothic" w:hAnsi="Century Gothic" w:cs="Century Gothic"/>
          <w:color w:val="000000"/>
        </w:rPr>
        <w:t>hidrosolubilización</w:t>
      </w:r>
      <w:proofErr w:type="spellEnd"/>
      <w:r w:rsidRPr="009F1905">
        <w:rPr>
          <w:rFonts w:ascii="Century Gothic" w:hAnsi="Century Gothic" w:cs="Century Gothic"/>
          <w:color w:val="000000"/>
        </w:rPr>
        <w:t xml:space="preserve"> de grasas y tintas. </w:t>
      </w: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</w:p>
    <w:p w:rsidR="009B42ED" w:rsidRDefault="009B42ED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B42ED" w:rsidRDefault="009B42ED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B42ED" w:rsidRDefault="009B42ED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</w:rPr>
      </w:pPr>
    </w:p>
    <w:p w:rsidR="009F1905" w:rsidRPr="009F1905" w:rsidRDefault="009F1905" w:rsidP="009F1905">
      <w:pPr>
        <w:autoSpaceDE w:val="0"/>
        <w:autoSpaceDN w:val="0"/>
        <w:adjustRightInd w:val="0"/>
        <w:spacing w:after="0" w:line="240" w:lineRule="auto"/>
        <w:rPr>
          <w:rFonts w:ascii="Century Gothic" w:hAnsi="Century Gothic" w:cs="Century Gothic"/>
          <w:color w:val="000000"/>
          <w:sz w:val="16"/>
          <w:szCs w:val="16"/>
        </w:rPr>
      </w:pPr>
      <w:r w:rsidRPr="009F1905">
        <w:rPr>
          <w:rFonts w:ascii="Century Gothic" w:hAnsi="Century Gothic" w:cs="Century Gothic"/>
          <w:color w:val="000000"/>
          <w:sz w:val="16"/>
          <w:szCs w:val="16"/>
        </w:rPr>
        <w:t xml:space="preserve">Las especificaciones contenidas en la presente Ficha Técnica corresponden a las propias del Diseño del Producto y fueron obtenidas por los métodos de chequeo empleados por el fabricante. Sus resultados no constituyen de ninguna manera garantía de desempeño del producto, el cual dependerá enteramente de los chequeos y procedimientos de aplicación de quien lo utiliza. Por lo anterior </w:t>
      </w:r>
      <w:r w:rsidR="009B42ED">
        <w:rPr>
          <w:rFonts w:ascii="Century Gothic" w:hAnsi="Century Gothic" w:cs="Century Gothic"/>
          <w:color w:val="000000"/>
          <w:sz w:val="16"/>
          <w:szCs w:val="16"/>
        </w:rPr>
        <w:t xml:space="preserve">DESTEK COMERCIAL S.A.S </w:t>
      </w:r>
      <w:r w:rsidRPr="009F1905">
        <w:rPr>
          <w:rFonts w:ascii="Century Gothic" w:hAnsi="Century Gothic" w:cs="Century Gothic"/>
          <w:color w:val="000000"/>
          <w:sz w:val="16"/>
          <w:szCs w:val="16"/>
        </w:rPr>
        <w:t xml:space="preserve"> no se hará responsable de ninguna contingencia que se derive de la aplicación, existan o no modificaciones en los procesos y procedimientos analizados con el cliente. El uso y manipulación inapropiados de este producto, puede ser peligroso para la salud y el medio ambiente. Su obtención se realiza mediante métodos electrónicos, razón por la cual se omite su firma. </w:t>
      </w: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  <w:r w:rsidRPr="009F1905">
        <w:rPr>
          <w:rFonts w:ascii="Century Gothic" w:hAnsi="Century Gothic" w:cs="Century Gothic"/>
          <w:color w:val="000000"/>
          <w:sz w:val="16"/>
          <w:szCs w:val="16"/>
        </w:rPr>
        <w:t xml:space="preserve">Para mayor información favor comunicarse con su representante técnico o comercial. </w:t>
      </w: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</w:p>
    <w:p w:rsidR="009F1905" w:rsidRDefault="009F1905" w:rsidP="009F1905">
      <w:pPr>
        <w:rPr>
          <w:rFonts w:ascii="Century Gothic" w:hAnsi="Century Gothic" w:cs="Century Gothic"/>
          <w:color w:val="000000"/>
        </w:rPr>
      </w:pPr>
    </w:p>
    <w:p w:rsidR="009F1905" w:rsidRPr="001A4670" w:rsidRDefault="009F1905" w:rsidP="009F1905">
      <w:pPr>
        <w:rPr>
          <w:lang w:val="es-MX"/>
        </w:rPr>
      </w:pPr>
    </w:p>
    <w:sectPr w:rsidR="009F1905" w:rsidRPr="001A4670">
      <w:headerReference w:type="default" r:id="rId8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4670" w:rsidRDefault="001A4670" w:rsidP="001A4670">
      <w:pPr>
        <w:spacing w:after="0" w:line="240" w:lineRule="auto"/>
      </w:pPr>
      <w:r>
        <w:separator/>
      </w:r>
    </w:p>
  </w:endnote>
  <w:endnote w:type="continuationSeparator" w:id="0">
    <w:p w:rsidR="001A4670" w:rsidRDefault="001A4670" w:rsidP="001A467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altName w:val="Century Gothic"/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4670" w:rsidRDefault="001A4670" w:rsidP="001A4670">
      <w:pPr>
        <w:spacing w:after="0" w:line="240" w:lineRule="auto"/>
      </w:pPr>
      <w:r>
        <w:separator/>
      </w:r>
    </w:p>
  </w:footnote>
  <w:footnote w:type="continuationSeparator" w:id="0">
    <w:p w:rsidR="001A4670" w:rsidRDefault="001A4670" w:rsidP="001A467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20"/>
        <w:lang w:val="es-ES"/>
      </w:rPr>
    </w:pPr>
    <w:proofErr w:type="spellStart"/>
    <w:r w:rsidRPr="00FB5591">
      <w:rPr>
        <w:rFonts w:cs="Arial"/>
        <w:noProof w:val="0"/>
        <w:sz w:val="20"/>
        <w:lang w:val="es-ES"/>
      </w:rPr>
      <w:t>Destek</w:t>
    </w:r>
    <w:proofErr w:type="spellEnd"/>
    <w:r w:rsidRPr="00FB5591">
      <w:rPr>
        <w:rFonts w:cs="Arial"/>
        <w:noProof w:val="0"/>
        <w:sz w:val="20"/>
        <w:lang w:val="es-ES"/>
      </w:rPr>
      <w:t xml:space="preserve"> Comercial S.A.S.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MX"/>
      </w:rPr>
    </w:pPr>
    <w:proofErr w:type="spellStart"/>
    <w:r w:rsidRPr="00FB5591">
      <w:rPr>
        <w:rFonts w:cs="Arial"/>
        <w:noProof w:val="0"/>
        <w:sz w:val="18"/>
        <w:szCs w:val="18"/>
        <w:lang w:val="es-MX"/>
      </w:rPr>
      <w:t>Cra</w:t>
    </w:r>
    <w:proofErr w:type="spellEnd"/>
    <w:r w:rsidRPr="00FB5591">
      <w:rPr>
        <w:rFonts w:cs="Arial"/>
        <w:noProof w:val="0"/>
        <w:sz w:val="18"/>
        <w:szCs w:val="18"/>
        <w:lang w:val="es-MX"/>
      </w:rPr>
      <w:t>. 6</w:t>
    </w:r>
    <w:r>
      <w:rPr>
        <w:rFonts w:cs="Arial"/>
        <w:noProof w:val="0"/>
        <w:sz w:val="18"/>
        <w:szCs w:val="18"/>
        <w:lang w:val="es-MX"/>
      </w:rPr>
      <w:t>0</w:t>
    </w:r>
    <w:r w:rsidRPr="00FB5591">
      <w:rPr>
        <w:rFonts w:cs="Arial"/>
        <w:noProof w:val="0"/>
        <w:sz w:val="18"/>
        <w:szCs w:val="18"/>
        <w:lang w:val="es-MX"/>
      </w:rPr>
      <w:t xml:space="preserve"> No. </w:t>
    </w:r>
    <w:r>
      <w:rPr>
        <w:rFonts w:cs="Arial"/>
        <w:noProof w:val="0"/>
        <w:sz w:val="18"/>
        <w:szCs w:val="18"/>
        <w:lang w:val="es-MX"/>
      </w:rPr>
      <w:t>4 G-53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ES"/>
      </w:rPr>
    </w:pPr>
    <w:r w:rsidRPr="00FB5591">
      <w:rPr>
        <w:rFonts w:cs="Arial"/>
        <w:noProof w:val="0"/>
        <w:sz w:val="18"/>
        <w:szCs w:val="18"/>
        <w:lang w:val="es-ES"/>
      </w:rPr>
      <w:t>Bogotá D.C. - Colombia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ES"/>
      </w:rPr>
    </w:pPr>
    <w:r w:rsidRPr="00FB5591">
      <w:rPr>
        <w:rFonts w:cs="Arial"/>
        <w:noProof w:val="0"/>
        <w:sz w:val="18"/>
        <w:szCs w:val="18"/>
        <w:lang w:val="es-ES"/>
      </w:rPr>
      <w:t>Tels.: (+ 57 1) 260 22 81 / 702</w:t>
    </w:r>
    <w:r w:rsidRPr="00FB5591">
      <w:rPr>
        <w:rFonts w:cs="Arial"/>
        <w:noProof w:val="0"/>
        <w:sz w:val="18"/>
        <w:szCs w:val="18"/>
        <w:lang w:val="es-MX"/>
      </w:rPr>
      <w:t xml:space="preserve"> 05 71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ES"/>
      </w:rPr>
    </w:pPr>
    <w:r w:rsidRPr="00FB5591">
      <w:rPr>
        <w:rFonts w:cs="Arial"/>
        <w:noProof w:val="0"/>
        <w:sz w:val="18"/>
        <w:szCs w:val="18"/>
        <w:lang w:val="es-ES"/>
      </w:rPr>
      <w:t>Telefax</w:t>
    </w:r>
    <w:proofErr w:type="gramStart"/>
    <w:r w:rsidRPr="00FB5591">
      <w:rPr>
        <w:rFonts w:cs="Arial"/>
        <w:noProof w:val="0"/>
        <w:sz w:val="18"/>
        <w:szCs w:val="18"/>
        <w:lang w:val="es-ES"/>
      </w:rPr>
      <w:t>:  (</w:t>
    </w:r>
    <w:proofErr w:type="gramEnd"/>
    <w:r w:rsidRPr="00FB5591">
      <w:rPr>
        <w:rFonts w:cs="Arial"/>
        <w:noProof w:val="0"/>
        <w:sz w:val="18"/>
        <w:szCs w:val="18"/>
        <w:lang w:val="es-ES"/>
      </w:rPr>
      <w:t>+ 57 1) 702 07 21</w:t>
    </w:r>
  </w:p>
  <w:p w:rsidR="001A4670" w:rsidRPr="00FB5591" w:rsidRDefault="001A4670" w:rsidP="001A4670">
    <w:pPr>
      <w:pStyle w:val="HDMAdrblock"/>
      <w:framePr w:w="3119" w:h="1758" w:hRule="exact" w:hSpace="142" w:wrap="around" w:vAnchor="page" w:hAnchor="page" w:x="8154" w:y="392"/>
      <w:jc w:val="right"/>
      <w:rPr>
        <w:rFonts w:cs="Arial"/>
        <w:noProof w:val="0"/>
        <w:sz w:val="18"/>
        <w:szCs w:val="18"/>
        <w:lang w:val="es-ES"/>
      </w:rPr>
    </w:pPr>
    <w:r w:rsidRPr="00FB5591">
      <w:rPr>
        <w:rFonts w:cs="Arial"/>
        <w:noProof w:val="0"/>
        <w:sz w:val="18"/>
        <w:szCs w:val="18"/>
        <w:lang w:val="es-ES"/>
      </w:rPr>
      <w:t>ventas@destekcomercial.com</w:t>
    </w:r>
  </w:p>
  <w:p w:rsidR="001A4670" w:rsidRDefault="001A4670" w:rsidP="001A4670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43A3582D" wp14:editId="6C7A9E6C">
          <wp:simplePos x="0" y="0"/>
          <wp:positionH relativeFrom="column">
            <wp:posOffset>-670560</wp:posOffset>
          </wp:positionH>
          <wp:positionV relativeFrom="paragraph">
            <wp:posOffset>-135255</wp:posOffset>
          </wp:positionV>
          <wp:extent cx="1933575" cy="773430"/>
          <wp:effectExtent l="0" t="0" r="9525" b="0"/>
          <wp:wrapSquare wrapText="bothSides"/>
          <wp:docPr id="1" name="Imagen 1" descr="https://www.destekcomercial.com/templates/rt_salient/custom/images/logo/logo_destek_300.gi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https://www.destekcomercial.com/templates/rt_salient/custom/images/logo/logo_destek_300.gi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3575" cy="773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1A4670" w:rsidRDefault="001A4670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4670"/>
    <w:rsid w:val="001A4670"/>
    <w:rsid w:val="003A43A0"/>
    <w:rsid w:val="00677155"/>
    <w:rsid w:val="009B42ED"/>
    <w:rsid w:val="009F1905"/>
    <w:rsid w:val="00C35100"/>
    <w:rsid w:val="00D30E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4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4670"/>
  </w:style>
  <w:style w:type="paragraph" w:styleId="Piedepgina">
    <w:name w:val="footer"/>
    <w:basedOn w:val="Normal"/>
    <w:link w:val="PiedepginaCar"/>
    <w:uiPriority w:val="99"/>
    <w:unhideWhenUsed/>
    <w:rsid w:val="001A4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670"/>
  </w:style>
  <w:style w:type="paragraph" w:styleId="Textodeglobo">
    <w:name w:val="Balloon Text"/>
    <w:basedOn w:val="Normal"/>
    <w:link w:val="TextodegloboCar"/>
    <w:uiPriority w:val="99"/>
    <w:semiHidden/>
    <w:unhideWhenUsed/>
    <w:rsid w:val="001A4670"/>
    <w:pPr>
      <w:spacing w:after="0" w:line="240" w:lineRule="auto"/>
    </w:pPr>
    <w:rPr>
      <w:rFonts w:ascii="Tahoma" w:eastAsiaTheme="minorEastAsia" w:hAnsi="Tahoma" w:cs="Tahoma"/>
      <w:sz w:val="16"/>
      <w:szCs w:val="16"/>
      <w:lang w:eastAsia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670"/>
    <w:rPr>
      <w:rFonts w:ascii="Tahoma" w:eastAsiaTheme="minorEastAsia" w:hAnsi="Tahoma" w:cs="Tahoma"/>
      <w:sz w:val="16"/>
      <w:szCs w:val="16"/>
      <w:lang w:eastAsia="es-CO"/>
    </w:rPr>
  </w:style>
  <w:style w:type="paragraph" w:customStyle="1" w:styleId="HDMAdrblock">
    <w:name w:val="HDM_Adrblock"/>
    <w:rsid w:val="001A467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 w:eastAsia="es-CO"/>
    </w:rPr>
  </w:style>
  <w:style w:type="character" w:styleId="Hipervnculo">
    <w:name w:val="Hyperlink"/>
    <w:rsid w:val="001A4670"/>
    <w:rPr>
      <w:color w:val="0000FF"/>
      <w:u w:val="single"/>
    </w:rPr>
  </w:style>
  <w:style w:type="paragraph" w:customStyle="1" w:styleId="Default">
    <w:name w:val="Default"/>
    <w:rsid w:val="001A4670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1A4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4670"/>
  </w:style>
  <w:style w:type="paragraph" w:styleId="Piedepgina">
    <w:name w:val="footer"/>
    <w:basedOn w:val="Normal"/>
    <w:link w:val="PiedepginaCar"/>
    <w:uiPriority w:val="99"/>
    <w:unhideWhenUsed/>
    <w:rsid w:val="001A467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4670"/>
  </w:style>
  <w:style w:type="paragraph" w:styleId="Textodeglobo">
    <w:name w:val="Balloon Text"/>
    <w:basedOn w:val="Normal"/>
    <w:link w:val="TextodegloboCar"/>
    <w:uiPriority w:val="99"/>
    <w:semiHidden/>
    <w:unhideWhenUsed/>
    <w:rsid w:val="001A4670"/>
    <w:pPr>
      <w:spacing w:after="0" w:line="240" w:lineRule="auto"/>
    </w:pPr>
    <w:rPr>
      <w:rFonts w:ascii="Tahoma" w:eastAsiaTheme="minorEastAsia" w:hAnsi="Tahoma" w:cs="Tahoma"/>
      <w:sz w:val="16"/>
      <w:szCs w:val="16"/>
      <w:lang w:eastAsia="es-CO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4670"/>
    <w:rPr>
      <w:rFonts w:ascii="Tahoma" w:eastAsiaTheme="minorEastAsia" w:hAnsi="Tahoma" w:cs="Tahoma"/>
      <w:sz w:val="16"/>
      <w:szCs w:val="16"/>
      <w:lang w:eastAsia="es-CO"/>
    </w:rPr>
  </w:style>
  <w:style w:type="paragraph" w:customStyle="1" w:styleId="HDMAdrblock">
    <w:name w:val="HDM_Adrblock"/>
    <w:rsid w:val="001A4670"/>
    <w:pPr>
      <w:overflowPunct w:val="0"/>
      <w:autoSpaceDE w:val="0"/>
      <w:autoSpaceDN w:val="0"/>
      <w:adjustRightInd w:val="0"/>
      <w:spacing w:after="0" w:line="220" w:lineRule="exact"/>
      <w:textAlignment w:val="baseline"/>
    </w:pPr>
    <w:rPr>
      <w:rFonts w:ascii="Arial" w:eastAsia="Times New Roman" w:hAnsi="Arial" w:cs="Times New Roman"/>
      <w:noProof/>
      <w:sz w:val="15"/>
      <w:szCs w:val="20"/>
      <w:lang w:val="en-GB" w:eastAsia="es-CO"/>
    </w:rPr>
  </w:style>
  <w:style w:type="character" w:styleId="Hipervnculo">
    <w:name w:val="Hyperlink"/>
    <w:rsid w:val="001A4670"/>
    <w:rPr>
      <w:color w:val="0000FF"/>
      <w:u w:val="single"/>
    </w:rPr>
  </w:style>
  <w:style w:type="paragraph" w:customStyle="1" w:styleId="Default">
    <w:name w:val="Default"/>
    <w:rsid w:val="001A4670"/>
    <w:pPr>
      <w:autoSpaceDE w:val="0"/>
      <w:autoSpaceDN w:val="0"/>
      <w:adjustRightInd w:val="0"/>
      <w:spacing w:after="0" w:line="240" w:lineRule="auto"/>
    </w:pPr>
    <w:rPr>
      <w:rFonts w:ascii="Century Gothic" w:hAnsi="Century Gothic" w:cs="Century Gothic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412</Words>
  <Characters>2271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MOSTRADOR</dc:creator>
  <cp:lastModifiedBy>MOSTRADOR</cp:lastModifiedBy>
  <cp:revision>3</cp:revision>
  <cp:lastPrinted>2021-05-28T18:15:00Z</cp:lastPrinted>
  <dcterms:created xsi:type="dcterms:W3CDTF">2021-05-28T18:14:00Z</dcterms:created>
  <dcterms:modified xsi:type="dcterms:W3CDTF">2021-05-28T18:53:00Z</dcterms:modified>
</cp:coreProperties>
</file>