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1B0" w:rsidRPr="00EE3062" w:rsidRDefault="00EE3062" w:rsidP="00EE30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50"/>
          <w:szCs w:val="46"/>
        </w:rPr>
      </w:pPr>
      <w:r w:rsidRPr="00EE3062">
        <w:rPr>
          <w:rFonts w:ascii="Times New Roman" w:hAnsi="Times New Roman" w:cs="Times New Roman"/>
          <w:noProof/>
          <w:sz w:val="20"/>
          <w:u w:val="single"/>
          <w:lang w:val="es-419" w:eastAsia="es-419"/>
        </w:rPr>
        <w:drawing>
          <wp:anchor distT="0" distB="0" distL="114300" distR="114300" simplePos="0" relativeHeight="251658752" behindDoc="0" locked="0" layoutInCell="1" allowOverlap="1" wp14:anchorId="61C5A4D5" wp14:editId="7651758A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1171575" cy="1171575"/>
            <wp:effectExtent l="0" t="0" r="9525" b="9525"/>
            <wp:wrapSquare wrapText="bothSides"/>
            <wp:docPr id="1" name="Imagen 1" descr="http://www.kingswoodinks.co.uk/siteimages/var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kingswoodinks.co.uk/siteimages/varn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31B0" w:rsidRPr="00EE3062">
        <w:rPr>
          <w:rFonts w:ascii="Times New Roman" w:hAnsi="Times New Roman" w:cs="Times New Roman"/>
          <w:color w:val="000000"/>
          <w:sz w:val="50"/>
          <w:szCs w:val="46"/>
        </w:rPr>
        <w:t>Polvo Antirrepinte</w:t>
      </w:r>
    </w:p>
    <w:p w:rsidR="00EE3062" w:rsidRDefault="00EE3062" w:rsidP="00EE3062">
      <w:pPr>
        <w:autoSpaceDE w:val="0"/>
        <w:autoSpaceDN w:val="0"/>
        <w:adjustRightInd w:val="0"/>
        <w:spacing w:after="0" w:line="240" w:lineRule="auto"/>
        <w:rPr>
          <w:rFonts w:ascii="ITCFranklinGothicStd-Demi" w:hAnsi="ITCFranklinGothicStd-Demi" w:cs="ITCFranklinGothicStd-Demi"/>
          <w:color w:val="0070C0"/>
          <w:sz w:val="24"/>
          <w:szCs w:val="24"/>
        </w:rPr>
      </w:pPr>
    </w:p>
    <w:p w:rsidR="00EE3062" w:rsidRPr="00EE3062" w:rsidRDefault="00EE3062" w:rsidP="00EE3062">
      <w:pPr>
        <w:autoSpaceDE w:val="0"/>
        <w:autoSpaceDN w:val="0"/>
        <w:adjustRightInd w:val="0"/>
        <w:spacing w:after="0" w:line="240" w:lineRule="auto"/>
        <w:rPr>
          <w:rFonts w:ascii="ITCFranklinGothicStd-Demi" w:hAnsi="ITCFranklinGothicStd-Demi" w:cs="ITCFranklinGothicStd-Demi"/>
          <w:color w:val="000000" w:themeColor="text1"/>
          <w:sz w:val="24"/>
          <w:szCs w:val="24"/>
        </w:rPr>
      </w:pP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3062">
        <w:rPr>
          <w:rFonts w:ascii="Times New Roman" w:hAnsi="Times New Roman" w:cs="Times New Roman"/>
          <w:color w:val="000000" w:themeColor="text1"/>
          <w:sz w:val="24"/>
          <w:szCs w:val="24"/>
        </w:rPr>
        <w:t>Ideal para aplicaciones de alimentación por hojas e impresión por duplicado</w:t>
      </w: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</w:p>
    <w:p w:rsidR="003830F9" w:rsidRDefault="003830F9" w:rsidP="00EE30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</w:p>
    <w:p w:rsidR="00EE3062" w:rsidRDefault="00EE3062" w:rsidP="00EE30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bookmarkStart w:id="0" w:name="_GoBack"/>
      <w:bookmarkEnd w:id="0"/>
    </w:p>
    <w:p w:rsidR="00EE3062" w:rsidRDefault="00EE3062" w:rsidP="00EE30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</w:p>
    <w:p w:rsidR="00EE3062" w:rsidRPr="00EE3062" w:rsidRDefault="00EE3062" w:rsidP="00EE30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EE3062">
        <w:rPr>
          <w:rFonts w:ascii="Times New Roman" w:hAnsi="Times New Roman" w:cs="Times New Roman"/>
          <w:b/>
          <w:sz w:val="18"/>
          <w:szCs w:val="18"/>
        </w:rPr>
        <w:t>POLVO DE ÓPTIMA CALIDAD PARA TODO TIPO DE UNIDAD APLICADORA.</w:t>
      </w:r>
    </w:p>
    <w:p w:rsidR="00A231B0" w:rsidRDefault="00A231B0" w:rsidP="00EE3062">
      <w:pPr>
        <w:autoSpaceDE w:val="0"/>
        <w:autoSpaceDN w:val="0"/>
        <w:adjustRightInd w:val="0"/>
        <w:spacing w:after="0" w:line="240" w:lineRule="auto"/>
        <w:rPr>
          <w:rFonts w:ascii="ITCFranklinGothicStd-Book" w:hAnsi="ITCFranklinGothicStd-Book" w:cs="ITCFranklinGothicStd-Book"/>
          <w:sz w:val="18"/>
          <w:szCs w:val="18"/>
        </w:rPr>
      </w:pPr>
    </w:p>
    <w:p w:rsidR="00EE3062" w:rsidRPr="00EE3062" w:rsidRDefault="00A231B0" w:rsidP="00EE306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EE3062">
        <w:rPr>
          <w:rFonts w:ascii="Arial" w:hAnsi="Arial" w:cs="Arial"/>
          <w:sz w:val="18"/>
          <w:szCs w:val="18"/>
        </w:rPr>
        <w:t xml:space="preserve">Los polvos antirrepinte </w:t>
      </w:r>
      <w:proofErr w:type="spellStart"/>
      <w:r w:rsidRPr="00EE3062">
        <w:rPr>
          <w:rFonts w:ascii="Arial" w:hAnsi="Arial" w:cs="Arial"/>
          <w:sz w:val="18"/>
          <w:szCs w:val="18"/>
        </w:rPr>
        <w:t>Varn</w:t>
      </w:r>
      <w:proofErr w:type="spellEnd"/>
      <w:r w:rsidRPr="00EE3062">
        <w:rPr>
          <w:rFonts w:ascii="Arial" w:hAnsi="Arial" w:cs="Arial"/>
          <w:sz w:val="18"/>
          <w:szCs w:val="18"/>
        </w:rPr>
        <w:t xml:space="preserve"> aceleran el proceso de secado de la tinta pues</w:t>
      </w: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proofErr w:type="gramStart"/>
      <w:r w:rsidRPr="00EE3062">
        <w:rPr>
          <w:rFonts w:ascii="Arial" w:hAnsi="Arial" w:cs="Arial"/>
          <w:sz w:val="18"/>
          <w:szCs w:val="18"/>
        </w:rPr>
        <w:t>forman</w:t>
      </w:r>
      <w:proofErr w:type="gramEnd"/>
      <w:r w:rsidRPr="00EE3062">
        <w:rPr>
          <w:rFonts w:ascii="Arial" w:hAnsi="Arial" w:cs="Arial"/>
          <w:sz w:val="18"/>
          <w:szCs w:val="18"/>
        </w:rPr>
        <w:t xml:space="preserve"> una separación entre las hojas a medida que abandonan la prensa. También anulan el efecto</w:t>
      </w: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proofErr w:type="gramStart"/>
      <w:r w:rsidRPr="00EE3062">
        <w:rPr>
          <w:rFonts w:ascii="Arial" w:hAnsi="Arial" w:cs="Arial"/>
          <w:sz w:val="18"/>
          <w:szCs w:val="18"/>
        </w:rPr>
        <w:t>de</w:t>
      </w:r>
      <w:proofErr w:type="gramEnd"/>
      <w:r w:rsidRPr="00EE3062">
        <w:rPr>
          <w:rFonts w:ascii="Arial" w:hAnsi="Arial" w:cs="Arial"/>
          <w:sz w:val="18"/>
          <w:szCs w:val="18"/>
        </w:rPr>
        <w:t xml:space="preserve"> succión de la tinta húmeda y la estática, e impiden que la tinta manche la hoja superior.</w:t>
      </w: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EE3062">
        <w:rPr>
          <w:rFonts w:ascii="Arial" w:hAnsi="Arial" w:cs="Arial"/>
          <w:sz w:val="18"/>
          <w:szCs w:val="18"/>
        </w:rPr>
        <w:t>Seleccione uno de los productos que componen nuestra completa línea de polvos regulares (serie R)</w:t>
      </w: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proofErr w:type="gramStart"/>
      <w:r w:rsidRPr="00EE3062">
        <w:rPr>
          <w:rFonts w:ascii="Arial" w:hAnsi="Arial" w:cs="Arial"/>
          <w:sz w:val="18"/>
          <w:szCs w:val="18"/>
        </w:rPr>
        <w:t>y</w:t>
      </w:r>
      <w:proofErr w:type="gramEnd"/>
      <w:r w:rsidRPr="00EE3062">
        <w:rPr>
          <w:rFonts w:ascii="Arial" w:hAnsi="Arial" w:cs="Arial"/>
          <w:sz w:val="18"/>
          <w:szCs w:val="18"/>
        </w:rPr>
        <w:t xml:space="preserve"> recubiertos (serie C). Los polvos Varn garantizan un excelente rendimiento en unidades electrónicas</w:t>
      </w: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proofErr w:type="gramStart"/>
      <w:r w:rsidRPr="00EE3062">
        <w:rPr>
          <w:rFonts w:ascii="Arial" w:hAnsi="Arial" w:cs="Arial"/>
          <w:sz w:val="18"/>
          <w:szCs w:val="18"/>
        </w:rPr>
        <w:t>y</w:t>
      </w:r>
      <w:proofErr w:type="gramEnd"/>
      <w:r w:rsidRPr="00EE3062">
        <w:rPr>
          <w:rFonts w:ascii="Arial" w:hAnsi="Arial" w:cs="Arial"/>
          <w:sz w:val="18"/>
          <w:szCs w:val="18"/>
        </w:rPr>
        <w:t xml:space="preserve"> pistolas de aire, y pueden utilizarse en la fabricación de envases alimenticios.</w:t>
      </w:r>
    </w:p>
    <w:p w:rsidR="00A231B0" w:rsidRDefault="00A231B0" w:rsidP="00EE3062">
      <w:pPr>
        <w:autoSpaceDE w:val="0"/>
        <w:autoSpaceDN w:val="0"/>
        <w:adjustRightInd w:val="0"/>
        <w:spacing w:after="0" w:line="240" w:lineRule="auto"/>
        <w:rPr>
          <w:rFonts w:ascii="ITCFranklinGothicStd-Book" w:hAnsi="ITCFranklinGothicStd-Book" w:cs="ITCFranklinGothicStd-Book"/>
          <w:sz w:val="18"/>
          <w:szCs w:val="18"/>
        </w:rPr>
      </w:pPr>
    </w:p>
    <w:p w:rsidR="003830F9" w:rsidRDefault="003830F9" w:rsidP="00EE3062">
      <w:pPr>
        <w:autoSpaceDE w:val="0"/>
        <w:autoSpaceDN w:val="0"/>
        <w:adjustRightInd w:val="0"/>
        <w:spacing w:after="0" w:line="240" w:lineRule="auto"/>
        <w:rPr>
          <w:rFonts w:ascii="ITCFranklinGothicStd-Book" w:hAnsi="ITCFranklinGothicStd-Book" w:cs="ITCFranklinGothicStd-Book"/>
          <w:sz w:val="18"/>
          <w:szCs w:val="18"/>
        </w:rPr>
      </w:pPr>
    </w:p>
    <w:p w:rsidR="00EE3062" w:rsidRDefault="00EE3062" w:rsidP="00EE3062">
      <w:pPr>
        <w:autoSpaceDE w:val="0"/>
        <w:autoSpaceDN w:val="0"/>
        <w:adjustRightInd w:val="0"/>
        <w:spacing w:after="0" w:line="240" w:lineRule="auto"/>
        <w:rPr>
          <w:rFonts w:ascii="ITCFranklinGothicStd-Book" w:hAnsi="ITCFranklinGothicStd-Book" w:cs="ITCFranklinGothicStd-Book"/>
          <w:sz w:val="18"/>
          <w:szCs w:val="18"/>
        </w:rPr>
      </w:pP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E3062">
        <w:rPr>
          <w:rFonts w:ascii="Times New Roman" w:hAnsi="Times New Roman" w:cs="Times New Roman"/>
          <w:b/>
          <w:sz w:val="28"/>
          <w:szCs w:val="28"/>
        </w:rPr>
        <w:t>Beneficios:</w:t>
      </w:r>
    </w:p>
    <w:p w:rsidR="00EE3062" w:rsidRPr="00EE3062" w:rsidRDefault="00EE3062" w:rsidP="00EE30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8"/>
          <w:szCs w:val="18"/>
        </w:rPr>
      </w:pP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 w:rsidRPr="00EE3062">
        <w:rPr>
          <w:rFonts w:ascii="Arial" w:hAnsi="Arial" w:cs="Arial"/>
          <w:sz w:val="18"/>
          <w:szCs w:val="18"/>
        </w:rPr>
        <w:t>• Ventajas</w:t>
      </w: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 w:rsidRPr="00EE3062">
        <w:rPr>
          <w:rFonts w:ascii="Arial" w:hAnsi="Arial" w:cs="Arial"/>
          <w:sz w:val="18"/>
          <w:szCs w:val="18"/>
        </w:rPr>
        <w:t>• Fabricado con almidón de alta calidad</w:t>
      </w: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 w:rsidRPr="00EE3062">
        <w:rPr>
          <w:rFonts w:ascii="Arial" w:hAnsi="Arial" w:cs="Arial"/>
          <w:sz w:val="18"/>
          <w:szCs w:val="18"/>
        </w:rPr>
        <w:t>• Permite la sobreimpresión</w:t>
      </w: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 w:rsidRPr="00EE3062">
        <w:rPr>
          <w:rFonts w:ascii="Arial" w:hAnsi="Arial" w:cs="Arial"/>
          <w:sz w:val="18"/>
          <w:szCs w:val="18"/>
        </w:rPr>
        <w:t>• Puede barnizarse</w:t>
      </w: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 w:rsidRPr="00EE3062">
        <w:rPr>
          <w:rFonts w:ascii="Arial" w:hAnsi="Arial" w:cs="Arial"/>
          <w:sz w:val="18"/>
          <w:szCs w:val="18"/>
        </w:rPr>
        <w:t>• Apto para pistolas electrónicas, de aire o con soluciones</w:t>
      </w:r>
    </w:p>
    <w:p w:rsidR="00A231B0" w:rsidRDefault="00A231B0" w:rsidP="00EE3062">
      <w:pPr>
        <w:autoSpaceDE w:val="0"/>
        <w:autoSpaceDN w:val="0"/>
        <w:adjustRightInd w:val="0"/>
        <w:spacing w:after="0" w:line="240" w:lineRule="auto"/>
        <w:rPr>
          <w:rFonts w:ascii="ITCFranklinGothicStd-Book" w:hAnsi="ITCFranklinGothicStd-Book" w:cs="ITCFranklinGothicStd-Book"/>
          <w:color w:val="666666"/>
          <w:sz w:val="18"/>
          <w:szCs w:val="18"/>
        </w:rPr>
      </w:pPr>
    </w:p>
    <w:p w:rsidR="003830F9" w:rsidRDefault="003830F9" w:rsidP="00EE3062">
      <w:pPr>
        <w:autoSpaceDE w:val="0"/>
        <w:autoSpaceDN w:val="0"/>
        <w:adjustRightInd w:val="0"/>
        <w:spacing w:after="0" w:line="240" w:lineRule="auto"/>
        <w:rPr>
          <w:rFonts w:ascii="ITCFranklinGothicStd-Book" w:hAnsi="ITCFranklinGothicStd-Book" w:cs="ITCFranklinGothicStd-Book"/>
          <w:color w:val="666666"/>
          <w:sz w:val="18"/>
          <w:szCs w:val="18"/>
        </w:rPr>
      </w:pPr>
    </w:p>
    <w:p w:rsidR="00EE3062" w:rsidRDefault="00EE3062" w:rsidP="00EE3062">
      <w:pPr>
        <w:autoSpaceDE w:val="0"/>
        <w:autoSpaceDN w:val="0"/>
        <w:adjustRightInd w:val="0"/>
        <w:spacing w:after="0" w:line="240" w:lineRule="auto"/>
        <w:rPr>
          <w:rFonts w:ascii="ITCFranklinGothicStd-Book" w:hAnsi="ITCFranklinGothicStd-Book" w:cs="ITCFranklinGothicStd-Book"/>
          <w:color w:val="666666"/>
          <w:sz w:val="18"/>
          <w:szCs w:val="18"/>
        </w:rPr>
      </w:pP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E3062">
        <w:rPr>
          <w:rFonts w:ascii="Times New Roman" w:hAnsi="Times New Roman" w:cs="Times New Roman"/>
          <w:b/>
          <w:sz w:val="28"/>
          <w:szCs w:val="28"/>
        </w:rPr>
        <w:t>Especificaciones</w:t>
      </w:r>
      <w:r w:rsidRPr="00EE3062">
        <w:rPr>
          <w:rFonts w:ascii="Times New Roman" w:hAnsi="Times New Roman" w:cs="Times New Roman"/>
          <w:sz w:val="28"/>
          <w:szCs w:val="28"/>
        </w:rPr>
        <w:t>:</w:t>
      </w:r>
    </w:p>
    <w:p w:rsidR="00EE3062" w:rsidRDefault="00EE3062" w:rsidP="00EE3062">
      <w:pPr>
        <w:autoSpaceDE w:val="0"/>
        <w:autoSpaceDN w:val="0"/>
        <w:adjustRightInd w:val="0"/>
        <w:spacing w:after="0" w:line="240" w:lineRule="auto"/>
        <w:rPr>
          <w:rFonts w:ascii="ITCFranklinGothicStd-Demi" w:hAnsi="ITCFranklinGothicStd-Demi" w:cs="ITCFranklinGothicStd-Demi"/>
        </w:rPr>
      </w:pP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EE3062">
        <w:rPr>
          <w:rFonts w:ascii="Arial" w:hAnsi="Arial" w:cs="Arial"/>
          <w:color w:val="000000"/>
          <w:sz w:val="18"/>
          <w:szCs w:val="18"/>
        </w:rPr>
        <w:t>Polvo regular - Serie R</w:t>
      </w: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EE3062">
        <w:rPr>
          <w:rFonts w:ascii="Arial" w:hAnsi="Arial" w:cs="Arial"/>
          <w:color w:val="000000"/>
          <w:sz w:val="18"/>
          <w:szCs w:val="18"/>
        </w:rPr>
        <w:t>Grado</w:t>
      </w: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EE3062">
        <w:rPr>
          <w:rFonts w:ascii="Arial" w:hAnsi="Arial" w:cs="Arial"/>
          <w:color w:val="000000"/>
          <w:sz w:val="18"/>
          <w:szCs w:val="18"/>
        </w:rPr>
        <w:t>R-23</w:t>
      </w:r>
    </w:p>
    <w:p w:rsidR="00A231B0" w:rsidRDefault="00A231B0" w:rsidP="00EE30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EE3062">
        <w:rPr>
          <w:rFonts w:ascii="Arial" w:hAnsi="Arial" w:cs="Arial"/>
          <w:color w:val="000000"/>
          <w:sz w:val="18"/>
          <w:szCs w:val="18"/>
        </w:rPr>
        <w:t>R-35</w:t>
      </w:r>
    </w:p>
    <w:p w:rsidR="00EE3062" w:rsidRPr="00EE3062" w:rsidRDefault="00EE3062" w:rsidP="00EE30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66666"/>
          <w:sz w:val="18"/>
          <w:szCs w:val="18"/>
        </w:rPr>
      </w:pP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E3062">
        <w:rPr>
          <w:rFonts w:ascii="Times New Roman" w:hAnsi="Times New Roman" w:cs="Times New Roman"/>
          <w:b/>
          <w:color w:val="000000"/>
          <w:sz w:val="28"/>
          <w:szCs w:val="28"/>
        </w:rPr>
        <w:t>Espesor en micrones</w:t>
      </w:r>
      <w:r w:rsidR="00EE3062" w:rsidRPr="00EE3062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p w:rsidR="00EE3062" w:rsidRPr="003830F9" w:rsidRDefault="00EE3062" w:rsidP="00EE3062">
      <w:pPr>
        <w:autoSpaceDE w:val="0"/>
        <w:autoSpaceDN w:val="0"/>
        <w:adjustRightInd w:val="0"/>
        <w:spacing w:after="0" w:line="240" w:lineRule="auto"/>
        <w:rPr>
          <w:rFonts w:ascii="ITCFranklinGothicStd-Book" w:hAnsi="ITCFranklinGothicStd-Book" w:cs="ITCFranklinGothicStd-Book"/>
          <w:b/>
          <w:color w:val="000000"/>
          <w:szCs w:val="18"/>
        </w:rPr>
      </w:pP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EE3062">
        <w:rPr>
          <w:rFonts w:ascii="Arial" w:hAnsi="Arial" w:cs="Arial"/>
          <w:color w:val="000000"/>
          <w:sz w:val="18"/>
          <w:szCs w:val="18"/>
        </w:rPr>
        <w:t>20-25</w:t>
      </w:r>
    </w:p>
    <w:p w:rsidR="00A231B0" w:rsidRPr="00EE3062" w:rsidRDefault="00A231B0" w:rsidP="00EE30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EE3062">
        <w:rPr>
          <w:rFonts w:ascii="Arial" w:hAnsi="Arial" w:cs="Arial"/>
          <w:color w:val="000000"/>
          <w:sz w:val="18"/>
          <w:szCs w:val="18"/>
        </w:rPr>
        <w:t>25-35</w:t>
      </w:r>
    </w:p>
    <w:p w:rsidR="003830F9" w:rsidRPr="00EE3062" w:rsidRDefault="003830F9" w:rsidP="00EE30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sectPr w:rsidR="003830F9" w:rsidRPr="00EE3062" w:rsidSect="0078572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062" w:rsidRDefault="00EE3062" w:rsidP="00EE3062">
      <w:pPr>
        <w:spacing w:after="0" w:line="240" w:lineRule="auto"/>
      </w:pPr>
      <w:r>
        <w:separator/>
      </w:r>
    </w:p>
  </w:endnote>
  <w:endnote w:type="continuationSeparator" w:id="0">
    <w:p w:rsidR="00EE3062" w:rsidRDefault="00EE3062" w:rsidP="00EE3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FranklinGothicStd-Demi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ITCFranklinGothicStd-Book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062" w:rsidRDefault="00EE3062" w:rsidP="00EE3062">
      <w:pPr>
        <w:spacing w:after="0" w:line="240" w:lineRule="auto"/>
      </w:pPr>
      <w:r>
        <w:separator/>
      </w:r>
    </w:p>
  </w:footnote>
  <w:footnote w:type="continuationSeparator" w:id="0">
    <w:p w:rsidR="00EE3062" w:rsidRDefault="00EE3062" w:rsidP="00EE3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42" w:type="dxa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456"/>
      <w:gridCol w:w="3186"/>
    </w:tblGrid>
    <w:tr w:rsidR="00EE3062" w:rsidRPr="00512D6C" w:rsidTr="004E4DE9">
      <w:trPr>
        <w:trHeight w:hRule="exact" w:val="1659"/>
      </w:trPr>
      <w:tc>
        <w:tcPr>
          <w:tcW w:w="6456" w:type="dxa"/>
        </w:tcPr>
        <w:p w:rsidR="00EE3062" w:rsidRPr="00F80EA4" w:rsidRDefault="004E4DE9" w:rsidP="004E4DE9">
          <w:pPr>
            <w:pStyle w:val="HDMAdrblock"/>
            <w:tabs>
              <w:tab w:val="left" w:pos="5624"/>
            </w:tabs>
            <w:rPr>
              <w:b/>
              <w:noProof w:val="0"/>
              <w:sz w:val="20"/>
              <w:lang w:val="es-ES"/>
            </w:rPr>
          </w:pPr>
          <w:r>
            <w:rPr>
              <w:b/>
              <w:sz w:val="20"/>
              <w:lang w:val="es-419" w:eastAsia="es-419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-222905</wp:posOffset>
                </wp:positionH>
                <wp:positionV relativeFrom="paragraph">
                  <wp:posOffset>-8325</wp:posOffset>
                </wp:positionV>
                <wp:extent cx="3463290" cy="1004570"/>
                <wp:effectExtent l="0" t="0" r="0" b="0"/>
                <wp:wrapTopAndBottom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63290" cy="100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b/>
              <w:noProof w:val="0"/>
              <w:sz w:val="20"/>
              <w:lang w:val="es-ES"/>
            </w:rPr>
            <w:tab/>
          </w:r>
        </w:p>
      </w:tc>
      <w:tc>
        <w:tcPr>
          <w:tcW w:w="3186" w:type="dxa"/>
        </w:tcPr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20"/>
              <w:lang w:val="es-ES"/>
            </w:rPr>
          </w:pPr>
          <w:r w:rsidRPr="00FB5591">
            <w:rPr>
              <w:rFonts w:cs="Arial"/>
              <w:noProof w:val="0"/>
              <w:sz w:val="20"/>
              <w:lang w:val="es-ES"/>
            </w:rPr>
            <w:t>Destek Comercial S.A.S.</w:t>
          </w:r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MX"/>
            </w:rPr>
          </w:pPr>
          <w:proofErr w:type="spellStart"/>
          <w:r w:rsidRPr="00FB5591">
            <w:rPr>
              <w:rFonts w:cs="Arial"/>
              <w:noProof w:val="0"/>
              <w:sz w:val="18"/>
              <w:szCs w:val="18"/>
              <w:lang w:val="es-MX"/>
            </w:rPr>
            <w:t>Cra</w:t>
          </w:r>
          <w:proofErr w:type="spellEnd"/>
          <w:r w:rsidRPr="00FB5591">
            <w:rPr>
              <w:rFonts w:cs="Arial"/>
              <w:noProof w:val="0"/>
              <w:sz w:val="18"/>
              <w:szCs w:val="18"/>
              <w:lang w:val="es-MX"/>
            </w:rPr>
            <w:t>. 6</w:t>
          </w:r>
          <w:r>
            <w:rPr>
              <w:rFonts w:cs="Arial"/>
              <w:noProof w:val="0"/>
              <w:sz w:val="18"/>
              <w:szCs w:val="18"/>
              <w:lang w:val="es-MX"/>
            </w:rPr>
            <w:t xml:space="preserve">0 </w:t>
          </w:r>
          <w:r w:rsidRPr="00FB5591">
            <w:rPr>
              <w:rFonts w:cs="Arial"/>
              <w:noProof w:val="0"/>
              <w:sz w:val="18"/>
              <w:szCs w:val="18"/>
              <w:lang w:val="es-MX"/>
            </w:rPr>
            <w:t xml:space="preserve">No. </w:t>
          </w:r>
          <w:r>
            <w:rPr>
              <w:rFonts w:cs="Arial"/>
              <w:noProof w:val="0"/>
              <w:sz w:val="18"/>
              <w:szCs w:val="18"/>
              <w:lang w:val="es-MX"/>
            </w:rPr>
            <w:t>4 G 53</w:t>
          </w:r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Bogotá D.C. - Colombia</w:t>
          </w:r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Tels.: (+ 57 1) 260 22 81 / 702</w:t>
          </w:r>
          <w:r w:rsidRPr="00FB5591">
            <w:rPr>
              <w:rFonts w:cs="Arial"/>
              <w:noProof w:val="0"/>
              <w:sz w:val="18"/>
              <w:szCs w:val="18"/>
              <w:lang w:val="es-MX"/>
            </w:rPr>
            <w:t xml:space="preserve"> 05 71</w:t>
          </w:r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Telefax:  (+ 57 1) 702 07 21</w:t>
          </w:r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ventas@destekcomercial.com</w:t>
          </w:r>
        </w:p>
        <w:p w:rsidR="00EE3062" w:rsidRPr="00FB5591" w:rsidRDefault="004E4DE9" w:rsidP="00EE3062">
          <w:pPr>
            <w:pStyle w:val="HDMAdrblock"/>
            <w:jc w:val="right"/>
            <w:rPr>
              <w:rFonts w:cs="Arial"/>
              <w:b/>
              <w:noProof w:val="0"/>
              <w:sz w:val="20"/>
              <w:lang w:val="es-ES"/>
            </w:rPr>
          </w:pPr>
          <w:hyperlink r:id="rId2" w:history="1">
            <w:r w:rsidR="00EE3062" w:rsidRPr="00FB5591">
              <w:rPr>
                <w:rStyle w:val="Hipervnculo"/>
                <w:rFonts w:cs="Arial"/>
                <w:noProof w:val="0"/>
                <w:sz w:val="18"/>
                <w:szCs w:val="18"/>
                <w:lang w:val="es-ES"/>
              </w:rPr>
              <w:t>www.destekcomercial.com</w:t>
            </w:r>
          </w:hyperlink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b/>
              <w:noProof w:val="0"/>
              <w:sz w:val="20"/>
              <w:lang w:val="es-ES"/>
            </w:rPr>
          </w:pPr>
        </w:p>
        <w:p w:rsidR="00EE3062" w:rsidRPr="00FB5591" w:rsidRDefault="00EE3062" w:rsidP="00EE3062">
          <w:pPr>
            <w:pStyle w:val="HDMAdrblock"/>
            <w:rPr>
              <w:rFonts w:cs="Arial"/>
              <w:b/>
              <w:noProof w:val="0"/>
              <w:sz w:val="20"/>
              <w:lang w:val="es-ES"/>
            </w:rPr>
          </w:pPr>
        </w:p>
        <w:p w:rsidR="00EE3062" w:rsidRPr="00FB5591" w:rsidRDefault="00EE3062" w:rsidP="00EE3062">
          <w:pPr>
            <w:pStyle w:val="HDMAdrblock"/>
            <w:rPr>
              <w:rFonts w:cs="Arial"/>
              <w:b/>
              <w:noProof w:val="0"/>
              <w:sz w:val="20"/>
              <w:lang w:val="es-ES"/>
            </w:rPr>
          </w:pPr>
        </w:p>
        <w:p w:rsidR="00EE3062" w:rsidRPr="00FB5591" w:rsidRDefault="00EE3062" w:rsidP="00EE3062">
          <w:pPr>
            <w:pStyle w:val="HDMAdrblock"/>
            <w:rPr>
              <w:rFonts w:cs="Arial"/>
              <w:b/>
              <w:noProof w:val="0"/>
              <w:sz w:val="20"/>
              <w:lang w:val="es-ES"/>
            </w:rPr>
          </w:pPr>
        </w:p>
        <w:p w:rsidR="00EE3062" w:rsidRPr="00FB5591" w:rsidRDefault="00EE3062" w:rsidP="00EE3062">
          <w:pPr>
            <w:pStyle w:val="HDMAdrblock"/>
            <w:rPr>
              <w:rFonts w:cs="Arial"/>
              <w:b/>
              <w:noProof w:val="0"/>
              <w:sz w:val="20"/>
              <w:lang w:val="es-ES"/>
            </w:rPr>
          </w:pPr>
        </w:p>
        <w:p w:rsidR="00EE3062" w:rsidRPr="00FB5591" w:rsidRDefault="00EE3062" w:rsidP="00EE3062">
          <w:pPr>
            <w:pStyle w:val="HDMAdrblock"/>
            <w:rPr>
              <w:rFonts w:cs="Arial"/>
              <w:b/>
              <w:noProof w:val="0"/>
              <w:sz w:val="20"/>
              <w:lang w:val="es-ES"/>
            </w:rPr>
          </w:pPr>
        </w:p>
      </w:tc>
    </w:tr>
  </w:tbl>
  <w:p w:rsidR="00EE3062" w:rsidRDefault="00EE306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231B0"/>
    <w:rsid w:val="003830F9"/>
    <w:rsid w:val="004E4DE9"/>
    <w:rsid w:val="0078572A"/>
    <w:rsid w:val="009444C3"/>
    <w:rsid w:val="00A231B0"/>
    <w:rsid w:val="00AF345B"/>
    <w:rsid w:val="00CA76D2"/>
    <w:rsid w:val="00E77F59"/>
    <w:rsid w:val="00EB0AC3"/>
    <w:rsid w:val="00EE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5:docId w15:val="{E3FA408C-D122-4299-8BB2-C145AB3B5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72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DMAdrblock">
    <w:name w:val="HDM_Adrblock"/>
    <w:rsid w:val="00A231B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paragraph" w:customStyle="1" w:styleId="HDMAdrblockB">
    <w:name w:val="HDM_AdrblockB"/>
    <w:rsid w:val="00A231B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b/>
      <w:noProof/>
      <w:sz w:val="15"/>
      <w:szCs w:val="20"/>
      <w:lang w:val="en-GB"/>
    </w:rPr>
  </w:style>
  <w:style w:type="character" w:styleId="Hipervnculo">
    <w:name w:val="Hyperlink"/>
    <w:basedOn w:val="Fuentedeprrafopredeter"/>
    <w:uiPriority w:val="99"/>
    <w:unhideWhenUsed/>
    <w:rsid w:val="00A231B0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E30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3062"/>
  </w:style>
  <w:style w:type="paragraph" w:styleId="Piedepgina">
    <w:name w:val="footer"/>
    <w:basedOn w:val="Normal"/>
    <w:link w:val="PiedepginaCar"/>
    <w:uiPriority w:val="99"/>
    <w:unhideWhenUsed/>
    <w:rsid w:val="00EE30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3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estekcomercia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151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ASISTENTE</dc:creator>
  <cp:lastModifiedBy>ASISTENTE</cp:lastModifiedBy>
  <cp:revision>10</cp:revision>
  <cp:lastPrinted>2020-10-16T13:27:00Z</cp:lastPrinted>
  <dcterms:created xsi:type="dcterms:W3CDTF">2011-05-20T21:13:00Z</dcterms:created>
  <dcterms:modified xsi:type="dcterms:W3CDTF">2020-10-16T13:27:00Z</dcterms:modified>
</cp:coreProperties>
</file>