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85A5" w14:textId="32F8E65A" w:rsidR="004F3C41" w:rsidRDefault="00233AEE" w:rsidP="00233AEE">
      <w:pPr>
        <w:pStyle w:val="Heading1"/>
      </w:pPr>
      <w:r>
        <w:t>Catégorie : Inflation</w:t>
      </w:r>
    </w:p>
    <w:p w14:paraId="431DBF0B" w14:textId="77777777" w:rsidR="00233AEE" w:rsidRPr="00233AEE" w:rsidRDefault="00233AEE" w:rsidP="00233AEE">
      <w:pPr>
        <w:pStyle w:val="ListParagraph"/>
        <w:numPr>
          <w:ilvl w:val="0"/>
          <w:numId w:val="2"/>
        </w:numPr>
        <w:rPr>
          <w:b/>
          <w:bCs/>
          <w:lang w:val="en-CA"/>
        </w:rPr>
      </w:pPr>
      <w:r w:rsidRPr="00233AEE">
        <w:t xml:space="preserve"> </w:t>
      </w:r>
      <w:proofErr w:type="spellStart"/>
      <w:r w:rsidRPr="00233AEE">
        <w:rPr>
          <w:b/>
          <w:bCs/>
        </w:rPr>
        <w:t>Personal</w:t>
      </w:r>
      <w:proofErr w:type="spellEnd"/>
      <w:r w:rsidRPr="00233AEE">
        <w:rPr>
          <w:b/>
          <w:bCs/>
        </w:rPr>
        <w:t xml:space="preserve"> </w:t>
      </w:r>
      <w:proofErr w:type="spellStart"/>
      <w:r w:rsidRPr="00233AEE">
        <w:rPr>
          <w:b/>
          <w:bCs/>
        </w:rPr>
        <w:t>Consumption</w:t>
      </w:r>
      <w:proofErr w:type="spellEnd"/>
      <w:r w:rsidRPr="00233AEE">
        <w:rPr>
          <w:b/>
          <w:bCs/>
        </w:rPr>
        <w:t xml:space="preserve"> </w:t>
      </w:r>
      <w:proofErr w:type="spellStart"/>
      <w:r w:rsidRPr="00233AEE">
        <w:rPr>
          <w:b/>
          <w:bCs/>
        </w:rPr>
        <w:t>Expenditures</w:t>
      </w:r>
      <w:proofErr w:type="spellEnd"/>
      <w:r w:rsidRPr="00233AEE">
        <w:rPr>
          <w:b/>
          <w:bCs/>
        </w:rPr>
        <w:t xml:space="preserve"> Price Index </w:t>
      </w:r>
    </w:p>
    <w:p w14:paraId="13E8FAFF" w14:textId="77777777" w:rsidR="00233AEE" w:rsidRDefault="00233AEE" w:rsidP="00233AEE">
      <w:pPr>
        <w:pStyle w:val="ListParagraph"/>
      </w:pPr>
      <w:r w:rsidRPr="00233AEE">
        <w:rPr>
          <w:b/>
          <w:bCs/>
        </w:rPr>
        <w:t>FRED Code :</w:t>
      </w:r>
      <w:r w:rsidRPr="00233AEE">
        <w:t xml:space="preserve"> PCEPI</w:t>
      </w:r>
    </w:p>
    <w:p w14:paraId="601147C8" w14:textId="4044366E" w:rsidR="00233AEE" w:rsidRDefault="00233AEE" w:rsidP="00233AEE">
      <w:pPr>
        <w:pStyle w:val="ListParagraph"/>
      </w:pPr>
      <w:r w:rsidRPr="00233AEE">
        <w:rPr>
          <w:b/>
          <w:bCs/>
        </w:rPr>
        <w:t>Description:</w:t>
      </w:r>
      <w:r w:rsidRPr="00233AEE">
        <w:t xml:space="preserve"> Il prend en compte les changements dans les habitudes de consommation des ménages, ajustant son panier de biens et services au fil du temps. Cela permet d’obtenir une mesure plus dynamique et représentative des pressions inflationnistes actuelles, capturant plus précisément l’impact des variations de prix sur le pouvoir d'achat réel des consommateurs. Rappel toi de seulement prendre des variables qui touche les États-Unis.</w:t>
      </w:r>
    </w:p>
    <w:p w14:paraId="300E775B" w14:textId="77777777" w:rsidR="00233AEE" w:rsidRPr="003F7EFE" w:rsidRDefault="00233AEE" w:rsidP="00233AEE">
      <w:pPr>
        <w:pStyle w:val="ListParagraph"/>
        <w:rPr>
          <w:b/>
          <w:bCs/>
        </w:rPr>
      </w:pPr>
    </w:p>
    <w:p w14:paraId="143EDD4D" w14:textId="77777777" w:rsidR="00233AEE" w:rsidRPr="003F7EFE" w:rsidRDefault="00233AEE" w:rsidP="00233AEE">
      <w:pPr>
        <w:pStyle w:val="ListParagraph"/>
        <w:rPr>
          <w:b/>
          <w:bCs/>
        </w:rPr>
      </w:pPr>
    </w:p>
    <w:p w14:paraId="3F35A9ED" w14:textId="75929DE1" w:rsidR="00233AEE" w:rsidRDefault="00233AEE" w:rsidP="00233AEE">
      <w:pPr>
        <w:pStyle w:val="ListParagraph"/>
        <w:numPr>
          <w:ilvl w:val="0"/>
          <w:numId w:val="2"/>
        </w:numPr>
      </w:pPr>
      <w:r w:rsidRPr="00233AEE">
        <w:rPr>
          <w:b/>
          <w:bCs/>
        </w:rPr>
        <w:t xml:space="preserve"> Producer Price Index by </w:t>
      </w:r>
      <w:proofErr w:type="spellStart"/>
      <w:r w:rsidRPr="00233AEE">
        <w:rPr>
          <w:b/>
          <w:bCs/>
        </w:rPr>
        <w:t>Commodity</w:t>
      </w:r>
      <w:proofErr w:type="spellEnd"/>
    </w:p>
    <w:p w14:paraId="3F96B5D7" w14:textId="615F3D41" w:rsidR="00233AEE" w:rsidRDefault="00233AEE" w:rsidP="00233AEE">
      <w:pPr>
        <w:pStyle w:val="ListParagraph"/>
      </w:pPr>
      <w:r w:rsidRPr="00233AEE">
        <w:rPr>
          <w:b/>
          <w:bCs/>
        </w:rPr>
        <w:t>FRED Code : PPIACO</w:t>
      </w:r>
      <w:r w:rsidRPr="00233AEE">
        <w:br/>
      </w:r>
      <w:r w:rsidRPr="00233AEE">
        <w:rPr>
          <w:b/>
          <w:bCs/>
        </w:rPr>
        <w:t>Description :</w:t>
      </w:r>
      <w:r w:rsidRPr="00233AEE">
        <w:t xml:space="preserve"> Le </w:t>
      </w:r>
      <w:r w:rsidRPr="00233AEE">
        <w:rPr>
          <w:i/>
          <w:iCs/>
        </w:rPr>
        <w:t>Producer Price Index</w:t>
      </w:r>
      <w:r w:rsidRPr="00233AEE">
        <w:t xml:space="preserve"> (PPI) par catégorie de produits mesure les variations de prix reçues par les producteurs pour leurs biens et services avant qu’ils ne soient distribués aux consommateurs. Cette variable est particulièrement utile pour détecter les pressions inflationnistes dans les premières étapes de la chaîne d’approvisionnement, anticipant ainsi les hausses potentielles des prix à la consommation. Contrairement au CPI, qui se concentre sur les biens et services achetés par les ménages, le PPI capte les fluctuations de prix dans le secteur de production, ce qui peut offrir un signal avancé pour les ajustements futurs des taux d’intérêt en fonction des coûts de production.</w:t>
      </w:r>
    </w:p>
    <w:p w14:paraId="7A8C97E5" w14:textId="77777777" w:rsidR="00233AEE" w:rsidRDefault="00233AEE" w:rsidP="00233AEE">
      <w:pPr>
        <w:pStyle w:val="ListParagraph"/>
      </w:pPr>
    </w:p>
    <w:p w14:paraId="71940BEA" w14:textId="77777777" w:rsidR="003E52D1" w:rsidRDefault="003E52D1" w:rsidP="00233AEE">
      <w:pPr>
        <w:pStyle w:val="ListParagraph"/>
      </w:pPr>
    </w:p>
    <w:p w14:paraId="4A68DCDC" w14:textId="41B49719" w:rsidR="007473FE" w:rsidRDefault="007473FE" w:rsidP="007473FE">
      <w:pPr>
        <w:pStyle w:val="ListParagraph"/>
        <w:numPr>
          <w:ilvl w:val="0"/>
          <w:numId w:val="2"/>
        </w:numPr>
      </w:pPr>
      <w:r w:rsidRPr="007473FE">
        <w:rPr>
          <w:b/>
          <w:bCs/>
        </w:rPr>
        <w:t xml:space="preserve">GDP </w:t>
      </w:r>
      <w:proofErr w:type="spellStart"/>
      <w:r w:rsidRPr="007473FE">
        <w:rPr>
          <w:b/>
          <w:bCs/>
        </w:rPr>
        <w:t>Deflator</w:t>
      </w:r>
      <w:proofErr w:type="spellEnd"/>
      <w:r>
        <w:rPr>
          <w:b/>
          <w:bCs/>
        </w:rPr>
        <w:t xml:space="preserve"> </w:t>
      </w:r>
      <w:r w:rsidR="000602E5" w:rsidRPr="000602E5">
        <w:rPr>
          <w:b/>
          <w:bCs/>
        </w:rPr>
        <w:sym w:font="Wingdings" w:char="F0E0"/>
      </w:r>
      <w:r w:rsidR="000602E5" w:rsidRPr="000602E5">
        <w:rPr>
          <w:b/>
          <w:bCs/>
          <w:color w:val="FF0000"/>
        </w:rPr>
        <w:t xml:space="preserve"> </w:t>
      </w:r>
      <w:r w:rsidRPr="000602E5">
        <w:rPr>
          <w:b/>
          <w:bCs/>
          <w:color w:val="FF0000"/>
        </w:rPr>
        <w:t>(Trimestrielle)</w:t>
      </w:r>
      <w:r w:rsidRPr="007473FE">
        <w:br/>
      </w:r>
      <w:r w:rsidRPr="007473FE">
        <w:rPr>
          <w:b/>
          <w:bCs/>
        </w:rPr>
        <w:t>FRED Code</w:t>
      </w:r>
      <w:r w:rsidRPr="007473FE">
        <w:t>: GDPDEF</w:t>
      </w:r>
      <w:r w:rsidRPr="007473FE">
        <w:br/>
      </w:r>
      <w:r w:rsidRPr="007473FE">
        <w:rPr>
          <w:b/>
          <w:bCs/>
        </w:rPr>
        <w:t>Description</w:t>
      </w:r>
      <w:r w:rsidRPr="007473FE">
        <w:t xml:space="preserve"> : </w:t>
      </w:r>
      <w:r w:rsidRPr="00676033">
        <w:t>Le Déflateur du PIB mesure l’évolution des prix de tous les biens et services inclus dans le PIB. Il est utilisé pour ajuster la croissance économique en termes réels, en éliminant l'effet de l'inflation. Contrairement aux indices de prix comme le CPI, qui se concentrent sur un panier de biens spécifiques, le déflateur du PIB couvre l'ensemble de l'économie, offrant une vue d'ensemble de l'inflation à l'échelle nationale.</w:t>
      </w:r>
    </w:p>
    <w:p w14:paraId="0605C07F" w14:textId="77777777" w:rsidR="003E52D1" w:rsidRDefault="003E52D1" w:rsidP="003E52D1"/>
    <w:p w14:paraId="3CD89576" w14:textId="7AC74E70" w:rsidR="003E52D1" w:rsidRPr="00676033" w:rsidRDefault="003E52D1" w:rsidP="003E52D1">
      <w:pPr>
        <w:pStyle w:val="ListParagraph"/>
        <w:numPr>
          <w:ilvl w:val="0"/>
          <w:numId w:val="2"/>
        </w:numPr>
      </w:pPr>
      <w:r w:rsidRPr="003E52D1">
        <w:rPr>
          <w:b/>
          <w:bCs/>
        </w:rPr>
        <w:t xml:space="preserve">Consumer Price Index for All Urban </w:t>
      </w:r>
      <w:proofErr w:type="spellStart"/>
      <w:r w:rsidRPr="003E52D1">
        <w:rPr>
          <w:b/>
          <w:bCs/>
        </w:rPr>
        <w:t>Consumers</w:t>
      </w:r>
      <w:proofErr w:type="spellEnd"/>
      <w:r w:rsidRPr="003E52D1">
        <w:rPr>
          <w:b/>
          <w:bCs/>
        </w:rPr>
        <w:t xml:space="preserve">: All Items </w:t>
      </w:r>
      <w:proofErr w:type="spellStart"/>
      <w:r w:rsidRPr="003E52D1">
        <w:rPr>
          <w:b/>
          <w:bCs/>
        </w:rPr>
        <w:t>Less</w:t>
      </w:r>
      <w:proofErr w:type="spellEnd"/>
      <w:r w:rsidRPr="003E52D1">
        <w:rPr>
          <w:b/>
          <w:bCs/>
        </w:rPr>
        <w:t xml:space="preserve"> Food and Energy (</w:t>
      </w:r>
      <w:proofErr w:type="spellStart"/>
      <w:r w:rsidRPr="003E52D1">
        <w:rPr>
          <w:b/>
          <w:bCs/>
        </w:rPr>
        <w:t>Core</w:t>
      </w:r>
      <w:proofErr w:type="spellEnd"/>
      <w:r w:rsidRPr="003E52D1">
        <w:rPr>
          <w:b/>
          <w:bCs/>
        </w:rPr>
        <w:t xml:space="preserve"> CPI)</w:t>
      </w:r>
      <w:r w:rsidRPr="003E52D1">
        <w:br/>
      </w:r>
      <w:r w:rsidRPr="003E52D1">
        <w:rPr>
          <w:b/>
          <w:bCs/>
        </w:rPr>
        <w:t>FRED Code</w:t>
      </w:r>
      <w:r w:rsidRPr="003E52D1">
        <w:t>: CPILFESL</w:t>
      </w:r>
      <w:r w:rsidRPr="003E52D1">
        <w:br/>
      </w:r>
      <w:r w:rsidRPr="003E52D1">
        <w:rPr>
          <w:b/>
          <w:bCs/>
        </w:rPr>
        <w:t>Description</w:t>
      </w:r>
      <w:r w:rsidRPr="003E52D1">
        <w:t xml:space="preserve"> </w:t>
      </w:r>
      <w:r w:rsidRPr="00676033">
        <w:t>: L'Indice des prix à la consommation pour tous les consommateurs urbains hors alimentation et énergie (</w:t>
      </w:r>
      <w:proofErr w:type="spellStart"/>
      <w:r w:rsidRPr="00676033">
        <w:t>Core</w:t>
      </w:r>
      <w:proofErr w:type="spellEnd"/>
      <w:r w:rsidRPr="00676033">
        <w:t xml:space="preserve"> CPI) mesure l'inflation sous-jacente en excluant les prix volatils de l'alimentation et de l'énergie. Il est utilisé pour obtenir une image plus stable de l'évolution des prix dans l'économie, en se concentrant sur les biens et services qui connaissent des variations de prix moins fluctuant. Ce type d'indice est souvent préféré par les banques centrales pour guider la politique monétaire, car il reflète mieux les tendances inflationnistes durables.</w:t>
      </w:r>
    </w:p>
    <w:p w14:paraId="26AA4EB0" w14:textId="0E09A72C" w:rsidR="003E52D1" w:rsidRDefault="003E52D1" w:rsidP="003E52D1"/>
    <w:p w14:paraId="0D81EDA5" w14:textId="77777777" w:rsidR="007473FE" w:rsidRDefault="007473FE" w:rsidP="007473FE"/>
    <w:p w14:paraId="4E4D2EB9" w14:textId="6B6A66C8" w:rsidR="007473FE" w:rsidRDefault="003E52D1" w:rsidP="003E52D1">
      <w:pPr>
        <w:pStyle w:val="ListParagraph"/>
        <w:numPr>
          <w:ilvl w:val="0"/>
          <w:numId w:val="2"/>
        </w:numPr>
      </w:pPr>
      <w:r w:rsidRPr="003E52D1">
        <w:rPr>
          <w:b/>
          <w:bCs/>
        </w:rPr>
        <w:lastRenderedPageBreak/>
        <w:t>Import Price Index</w:t>
      </w:r>
      <w:r w:rsidRPr="003E52D1">
        <w:br/>
      </w:r>
      <w:r w:rsidRPr="003E52D1">
        <w:rPr>
          <w:b/>
          <w:bCs/>
        </w:rPr>
        <w:t>FRED Code</w:t>
      </w:r>
      <w:r w:rsidRPr="003E52D1">
        <w:t>: IR</w:t>
      </w:r>
      <w:r w:rsidRPr="003E52D1">
        <w:br/>
      </w:r>
      <w:r w:rsidRPr="003E52D1">
        <w:rPr>
          <w:b/>
          <w:bCs/>
        </w:rPr>
        <w:t>Description</w:t>
      </w:r>
      <w:r w:rsidRPr="003E52D1">
        <w:t xml:space="preserve"> : </w:t>
      </w:r>
      <w:r w:rsidRPr="00676033">
        <w:t>L'Indice des prix à l'importation mesure les variations des prix des biens importés. Cet indice est un indicateur clé de l'inflation importée, en mettant en lumière l'impact des prix étrangers sur l'économie nationale. Il est particulièrement utile pour évaluer la pression exercée sur les prix domestiques par les biens venant de l'étranger, en particulier dans le contexte de fluctuations des devises ou des conditions économiques internationales.</w:t>
      </w:r>
    </w:p>
    <w:p w14:paraId="13C0B17D" w14:textId="77777777" w:rsidR="00233AEE" w:rsidRDefault="00233AEE" w:rsidP="00233AEE">
      <w:pPr>
        <w:pStyle w:val="ListParagraph"/>
        <w:rPr>
          <w:b/>
          <w:bCs/>
        </w:rPr>
      </w:pPr>
    </w:p>
    <w:p w14:paraId="74364183" w14:textId="77777777" w:rsidR="00233AEE" w:rsidRDefault="00233AEE" w:rsidP="00233AEE">
      <w:pPr>
        <w:pStyle w:val="ListParagraph"/>
        <w:rPr>
          <w:b/>
          <w:bCs/>
        </w:rPr>
      </w:pPr>
    </w:p>
    <w:p w14:paraId="27ECBD8A" w14:textId="1958A68C" w:rsidR="00947F18" w:rsidRPr="005E7996" w:rsidRDefault="00947F18" w:rsidP="00947F18">
      <w:pPr>
        <w:pStyle w:val="ListParagraph"/>
        <w:numPr>
          <w:ilvl w:val="0"/>
          <w:numId w:val="2"/>
        </w:numPr>
        <w:rPr>
          <w:b/>
          <w:bCs/>
        </w:rPr>
      </w:pPr>
      <w:r w:rsidRPr="00947F18">
        <w:rPr>
          <w:b/>
          <w:bCs/>
        </w:rPr>
        <w:t xml:space="preserve">Consumer Price Index for All Urban </w:t>
      </w:r>
      <w:proofErr w:type="spellStart"/>
      <w:r w:rsidRPr="00947F18">
        <w:rPr>
          <w:b/>
          <w:bCs/>
        </w:rPr>
        <w:t>Consumers</w:t>
      </w:r>
      <w:proofErr w:type="spellEnd"/>
      <w:r w:rsidRPr="00947F18">
        <w:rPr>
          <w:b/>
          <w:bCs/>
        </w:rPr>
        <w:t xml:space="preserve"> (CPI-U)</w:t>
      </w:r>
      <w:r w:rsidRPr="00947F18">
        <w:rPr>
          <w:b/>
          <w:bCs/>
        </w:rPr>
        <w:br/>
        <w:t>FRED Code: CPIAUCSL</w:t>
      </w:r>
      <w:r w:rsidRPr="00947F18">
        <w:rPr>
          <w:b/>
          <w:bCs/>
        </w:rPr>
        <w:br/>
        <w:t xml:space="preserve">Description : </w:t>
      </w:r>
      <w:r w:rsidRPr="00947F18">
        <w:t>L'Indice des prix à la consommation pour tous les consommateurs urbains (CPI-U) représente la variation moyenne des prix pour un panier de biens et services courants achetés par les consommateurs urbains. Il offre une vue d'ensemble sur l'inflation de détail aux États-Unis, étant l'indicateur principal utilisé pour mesurer l'évolution du coût de la vie et les pressions inflationnistes dans l'économie.</w:t>
      </w:r>
    </w:p>
    <w:p w14:paraId="262D3105" w14:textId="77777777" w:rsidR="005E7996" w:rsidRDefault="005E7996" w:rsidP="00947F18">
      <w:pPr>
        <w:rPr>
          <w:b/>
          <w:bCs/>
        </w:rPr>
      </w:pPr>
    </w:p>
    <w:p w14:paraId="482090EE" w14:textId="50013D32" w:rsidR="005E7996" w:rsidRDefault="005E7996" w:rsidP="005E7996">
      <w:pPr>
        <w:pStyle w:val="ListParagraph"/>
        <w:numPr>
          <w:ilvl w:val="0"/>
          <w:numId w:val="2"/>
        </w:numPr>
      </w:pPr>
      <w:r w:rsidRPr="005E7996">
        <w:rPr>
          <w:b/>
          <w:bCs/>
        </w:rPr>
        <w:t xml:space="preserve">CPI for All Urban </w:t>
      </w:r>
      <w:proofErr w:type="spellStart"/>
      <w:r w:rsidRPr="005E7996">
        <w:rPr>
          <w:b/>
          <w:bCs/>
        </w:rPr>
        <w:t>Consumers</w:t>
      </w:r>
      <w:proofErr w:type="spellEnd"/>
      <w:r w:rsidRPr="005E7996">
        <w:rPr>
          <w:b/>
          <w:bCs/>
        </w:rPr>
        <w:t xml:space="preserve">: All Items </w:t>
      </w:r>
      <w:proofErr w:type="spellStart"/>
      <w:r w:rsidRPr="005E7996">
        <w:rPr>
          <w:b/>
          <w:bCs/>
        </w:rPr>
        <w:t>Less</w:t>
      </w:r>
      <w:proofErr w:type="spellEnd"/>
      <w:r w:rsidRPr="005E7996">
        <w:rPr>
          <w:b/>
          <w:bCs/>
        </w:rPr>
        <w:t xml:space="preserve"> Food and Energy (</w:t>
      </w:r>
      <w:proofErr w:type="spellStart"/>
      <w:r w:rsidRPr="005E7996">
        <w:rPr>
          <w:b/>
          <w:bCs/>
        </w:rPr>
        <w:t>Core</w:t>
      </w:r>
      <w:proofErr w:type="spellEnd"/>
      <w:r w:rsidRPr="005E7996">
        <w:rPr>
          <w:b/>
          <w:bCs/>
        </w:rPr>
        <w:t xml:space="preserve"> CPI)</w:t>
      </w:r>
      <w:r w:rsidRPr="005E7996">
        <w:br/>
      </w:r>
      <w:r w:rsidRPr="005E7996">
        <w:rPr>
          <w:b/>
          <w:bCs/>
        </w:rPr>
        <w:t>FRED Code</w:t>
      </w:r>
      <w:r w:rsidRPr="005E7996">
        <w:t>: CPILFESL</w:t>
      </w:r>
      <w:r w:rsidRPr="005E7996">
        <w:br/>
      </w:r>
      <w:r w:rsidRPr="005E7996">
        <w:rPr>
          <w:b/>
          <w:bCs/>
        </w:rPr>
        <w:t>Description</w:t>
      </w:r>
      <w:r w:rsidRPr="005E7996">
        <w:t xml:space="preserve"> : En excluant les prix volatils de l'alimentation et de l'énergie, l'</w:t>
      </w:r>
      <w:r w:rsidRPr="008A2E9D">
        <w:t xml:space="preserve">indice </w:t>
      </w:r>
      <w:proofErr w:type="spellStart"/>
      <w:r w:rsidRPr="008A2E9D">
        <w:t>Core</w:t>
      </w:r>
      <w:proofErr w:type="spellEnd"/>
      <w:r w:rsidRPr="008A2E9D">
        <w:t xml:space="preserve"> CPI </w:t>
      </w:r>
      <w:r w:rsidRPr="005E7996">
        <w:t>fournit une image plus stable des tendances d'inflation sous-jacentes. Il est utilisé pour mesurer l'inflation de base, souvent pris en compte par les banques centrales pour guider la politique monétaire, car il reflète mieux les pressions inflationnistes durables dans l'économie.</w:t>
      </w:r>
    </w:p>
    <w:p w14:paraId="2F0D9875" w14:textId="77777777" w:rsidR="005E7996" w:rsidRDefault="005E7996" w:rsidP="005E7996">
      <w:pPr>
        <w:pStyle w:val="ListParagraph"/>
      </w:pPr>
    </w:p>
    <w:p w14:paraId="66A54963" w14:textId="77777777" w:rsidR="005E7996" w:rsidRDefault="005E7996" w:rsidP="005E7996">
      <w:pPr>
        <w:pStyle w:val="ListParagraph"/>
      </w:pPr>
    </w:p>
    <w:p w14:paraId="3659D358" w14:textId="54B3E9E5" w:rsidR="005E7996" w:rsidRDefault="005E7996" w:rsidP="005E7996">
      <w:pPr>
        <w:pStyle w:val="ListParagraph"/>
        <w:numPr>
          <w:ilvl w:val="0"/>
          <w:numId w:val="2"/>
        </w:numPr>
      </w:pPr>
      <w:r w:rsidRPr="005E7996">
        <w:rPr>
          <w:b/>
          <w:bCs/>
        </w:rPr>
        <w:t xml:space="preserve">Producer Price Index by </w:t>
      </w:r>
      <w:proofErr w:type="spellStart"/>
      <w:r w:rsidRPr="005E7996">
        <w:rPr>
          <w:b/>
          <w:bCs/>
        </w:rPr>
        <w:t>Industry</w:t>
      </w:r>
      <w:proofErr w:type="spellEnd"/>
      <w:r w:rsidRPr="005E7996">
        <w:rPr>
          <w:b/>
          <w:bCs/>
        </w:rPr>
        <w:t xml:space="preserve">: Total </w:t>
      </w:r>
      <w:proofErr w:type="spellStart"/>
      <w:r w:rsidRPr="005E7996">
        <w:rPr>
          <w:b/>
          <w:bCs/>
        </w:rPr>
        <w:t>Manufacturing</w:t>
      </w:r>
      <w:proofErr w:type="spellEnd"/>
      <w:r w:rsidRPr="005E7996">
        <w:rPr>
          <w:b/>
          <w:bCs/>
        </w:rPr>
        <w:t xml:space="preserve"> Industries</w:t>
      </w:r>
      <w:r w:rsidRPr="005E7996">
        <w:br/>
      </w:r>
      <w:r w:rsidRPr="005E7996">
        <w:rPr>
          <w:b/>
          <w:bCs/>
        </w:rPr>
        <w:t>FRED Code</w:t>
      </w:r>
      <w:r w:rsidRPr="005E7996">
        <w:t>: PCUOMFGOMFG</w:t>
      </w:r>
      <w:r w:rsidRPr="005E7996">
        <w:br/>
      </w:r>
      <w:r w:rsidRPr="005E7996">
        <w:rPr>
          <w:b/>
          <w:bCs/>
        </w:rPr>
        <w:t>Description</w:t>
      </w:r>
      <w:r w:rsidRPr="005E7996">
        <w:t xml:space="preserve"> : </w:t>
      </w:r>
      <w:r w:rsidRPr="00676033">
        <w:t>L'Indice des prix à la production par industrie pour l'ensemble des industries manufacturières mesure l'inflation du point de vue des producteurs. Il indique comment les prix de production des biens finaux affectent les coûts de consommation, offrant ainsi un aperçu des pressions inflationnistes dans le secteur manufacturier avant que les produits n'atteignent les consommateurs.</w:t>
      </w:r>
    </w:p>
    <w:p w14:paraId="1FBE7628" w14:textId="77777777" w:rsidR="005E7996" w:rsidRDefault="005E7996" w:rsidP="005E7996">
      <w:pPr>
        <w:pStyle w:val="ListParagraph"/>
        <w:rPr>
          <w:b/>
          <w:bCs/>
        </w:rPr>
      </w:pPr>
    </w:p>
    <w:p w14:paraId="7DA43586" w14:textId="77777777" w:rsidR="005E7996" w:rsidRDefault="005E7996" w:rsidP="005E7996">
      <w:pPr>
        <w:pStyle w:val="ListParagraph"/>
        <w:rPr>
          <w:b/>
          <w:bCs/>
        </w:rPr>
      </w:pPr>
    </w:p>
    <w:p w14:paraId="1952AFB9" w14:textId="36EC0FF3" w:rsidR="005E7996" w:rsidRPr="005E7996" w:rsidRDefault="005E7996" w:rsidP="005E7996">
      <w:pPr>
        <w:pStyle w:val="ListParagraph"/>
        <w:numPr>
          <w:ilvl w:val="0"/>
          <w:numId w:val="2"/>
        </w:numPr>
      </w:pPr>
      <w:proofErr w:type="spellStart"/>
      <w:r w:rsidRPr="005E7996">
        <w:rPr>
          <w:b/>
          <w:bCs/>
        </w:rPr>
        <w:t>Personal</w:t>
      </w:r>
      <w:proofErr w:type="spellEnd"/>
      <w:r w:rsidRPr="005E7996">
        <w:rPr>
          <w:b/>
          <w:bCs/>
        </w:rPr>
        <w:t xml:space="preserve"> </w:t>
      </w:r>
      <w:proofErr w:type="spellStart"/>
      <w:r w:rsidRPr="005E7996">
        <w:rPr>
          <w:b/>
          <w:bCs/>
        </w:rPr>
        <w:t>Consumption</w:t>
      </w:r>
      <w:proofErr w:type="spellEnd"/>
      <w:r w:rsidRPr="005E7996">
        <w:rPr>
          <w:b/>
          <w:bCs/>
        </w:rPr>
        <w:t xml:space="preserve"> </w:t>
      </w:r>
      <w:proofErr w:type="spellStart"/>
      <w:r w:rsidRPr="005E7996">
        <w:rPr>
          <w:b/>
          <w:bCs/>
        </w:rPr>
        <w:t>Expenditures</w:t>
      </w:r>
      <w:proofErr w:type="spellEnd"/>
      <w:r w:rsidRPr="005E7996">
        <w:rPr>
          <w:b/>
          <w:bCs/>
        </w:rPr>
        <w:t xml:space="preserve"> </w:t>
      </w:r>
      <w:proofErr w:type="spellStart"/>
      <w:r w:rsidRPr="005E7996">
        <w:rPr>
          <w:b/>
          <w:bCs/>
        </w:rPr>
        <w:t>Excluding</w:t>
      </w:r>
      <w:proofErr w:type="spellEnd"/>
      <w:r w:rsidRPr="005E7996">
        <w:rPr>
          <w:b/>
          <w:bCs/>
        </w:rPr>
        <w:t xml:space="preserve"> Food and Energy (</w:t>
      </w:r>
      <w:proofErr w:type="spellStart"/>
      <w:r w:rsidRPr="005E7996">
        <w:rPr>
          <w:b/>
          <w:bCs/>
        </w:rPr>
        <w:t>Core</w:t>
      </w:r>
      <w:proofErr w:type="spellEnd"/>
      <w:r w:rsidRPr="005E7996">
        <w:rPr>
          <w:b/>
          <w:bCs/>
        </w:rPr>
        <w:t xml:space="preserve"> PCE)</w:t>
      </w:r>
      <w:r w:rsidR="000602E5">
        <w:rPr>
          <w:b/>
          <w:bCs/>
        </w:rPr>
        <w:t xml:space="preserve"> </w:t>
      </w:r>
      <w:r w:rsidR="000602E5" w:rsidRPr="000602E5">
        <w:rPr>
          <w:b/>
          <w:bCs/>
        </w:rPr>
        <w:sym w:font="Wingdings" w:char="F0E0"/>
      </w:r>
      <w:r w:rsidR="000602E5">
        <w:rPr>
          <w:b/>
          <w:bCs/>
        </w:rPr>
        <w:t xml:space="preserve"> </w:t>
      </w:r>
      <w:r w:rsidR="000602E5" w:rsidRPr="000602E5">
        <w:rPr>
          <w:b/>
          <w:bCs/>
          <w:color w:val="FF0000"/>
        </w:rPr>
        <w:t xml:space="preserve">(Trimestrielle) </w:t>
      </w:r>
      <w:r w:rsidRPr="005E7996">
        <w:br/>
      </w:r>
      <w:r w:rsidRPr="005E7996">
        <w:rPr>
          <w:b/>
          <w:bCs/>
        </w:rPr>
        <w:t>FRED Code</w:t>
      </w:r>
      <w:r w:rsidRPr="005E7996">
        <w:t xml:space="preserve">: </w:t>
      </w:r>
      <w:r w:rsidR="003F7EFE" w:rsidRPr="003F7EFE">
        <w:t>DPCCRV1Q225SBEA</w:t>
      </w:r>
      <w:r w:rsidRPr="005E7996">
        <w:br/>
      </w:r>
      <w:r w:rsidRPr="005E7996">
        <w:rPr>
          <w:b/>
          <w:bCs/>
        </w:rPr>
        <w:t>Description</w:t>
      </w:r>
      <w:r w:rsidRPr="005E7996">
        <w:t xml:space="preserve"> : </w:t>
      </w:r>
      <w:r w:rsidRPr="00676033">
        <w:t xml:space="preserve">L'indice </w:t>
      </w:r>
      <w:proofErr w:type="spellStart"/>
      <w:r w:rsidRPr="00676033">
        <w:t>Core</w:t>
      </w:r>
      <w:proofErr w:type="spellEnd"/>
      <w:r w:rsidRPr="00676033">
        <w:t xml:space="preserve"> PCE est essentiel pour les analyses de la Fed car il mesure l'inflation de base en excluant les éléments volatils tels que l'alimentation et l'énergie. Cet indice offre une vision plus stable des tendances inflationnistes sous-jacentes, ce qui permet à la Fed de prendre des décisions de politique monétaire plus éclairées.</w:t>
      </w:r>
    </w:p>
    <w:p w14:paraId="370B66DA" w14:textId="77777777" w:rsidR="00947F18" w:rsidRDefault="00947F18" w:rsidP="00947F18">
      <w:pPr>
        <w:rPr>
          <w:b/>
          <w:bCs/>
        </w:rPr>
      </w:pPr>
    </w:p>
    <w:p w14:paraId="78A7D12A" w14:textId="77777777" w:rsidR="00947F18" w:rsidRPr="005A5F86" w:rsidRDefault="00947F18" w:rsidP="00947F18"/>
    <w:p w14:paraId="5A8D0411" w14:textId="2BEC4EEF" w:rsidR="00947F18" w:rsidRDefault="00DD3142" w:rsidP="00DD3142">
      <w:pPr>
        <w:pStyle w:val="ListParagraph"/>
        <w:numPr>
          <w:ilvl w:val="0"/>
          <w:numId w:val="2"/>
        </w:numPr>
      </w:pPr>
      <w:proofErr w:type="spellStart"/>
      <w:r w:rsidRPr="00DD3142">
        <w:rPr>
          <w:b/>
          <w:bCs/>
        </w:rPr>
        <w:lastRenderedPageBreak/>
        <w:t>Median</w:t>
      </w:r>
      <w:proofErr w:type="spellEnd"/>
      <w:r w:rsidRPr="00DD3142">
        <w:rPr>
          <w:b/>
          <w:bCs/>
        </w:rPr>
        <w:t xml:space="preserve"> Consumer Price Index</w:t>
      </w:r>
      <w:r w:rsidRPr="00DD3142">
        <w:br/>
      </w:r>
      <w:r w:rsidRPr="00DD3142">
        <w:rPr>
          <w:b/>
          <w:bCs/>
        </w:rPr>
        <w:t>FRED Code</w:t>
      </w:r>
      <w:r w:rsidRPr="00DD3142">
        <w:t>: MEDCPIM158SFRBCLE</w:t>
      </w:r>
      <w:r w:rsidRPr="00DD3142">
        <w:br/>
      </w:r>
      <w:r w:rsidRPr="00DD3142">
        <w:rPr>
          <w:b/>
          <w:bCs/>
        </w:rPr>
        <w:t>Description</w:t>
      </w:r>
      <w:r w:rsidRPr="00DD3142">
        <w:t xml:space="preserve"> : Le </w:t>
      </w:r>
      <w:proofErr w:type="spellStart"/>
      <w:r w:rsidRPr="00DD3142">
        <w:t>Median</w:t>
      </w:r>
      <w:proofErr w:type="spellEnd"/>
      <w:r w:rsidRPr="00DD3142">
        <w:t xml:space="preserve"> Consumer Price Index (CPI) est calculé comme la médiane des changements de prix, offrant une mesure de l’inflation moins influencée par les variations extrêmes. Il est utilisé pour obtenir une meilleure mesure de l’inflation sous-jacente en excluant les 49,5% des composants du CPI ayant les variations de prix les plus élevées et les plus faibles. Selon les recherches de la Cleveland Fed, cet indice fournit un signal plus précis des tendances inflationnistes que le CPI global ou le CPI excluant l'alimentation et l'énergie, et se montre même plus performant que le </w:t>
      </w:r>
      <w:proofErr w:type="spellStart"/>
      <w:r w:rsidRPr="00DD3142">
        <w:t>Core</w:t>
      </w:r>
      <w:proofErr w:type="spellEnd"/>
      <w:r w:rsidRPr="00DD3142">
        <w:t xml:space="preserve"> PCE pour prédire l’inflation à court et long terme.</w:t>
      </w:r>
    </w:p>
    <w:p w14:paraId="318D182E" w14:textId="77777777" w:rsidR="00DD3142" w:rsidRDefault="00DD3142" w:rsidP="00DD3142"/>
    <w:p w14:paraId="79DBA958" w14:textId="33D42BA9" w:rsidR="00DD3142" w:rsidRPr="005A5F86" w:rsidRDefault="00DD3142" w:rsidP="00DD3142">
      <w:pPr>
        <w:pStyle w:val="ListParagraph"/>
        <w:numPr>
          <w:ilvl w:val="0"/>
          <w:numId w:val="2"/>
        </w:numPr>
      </w:pPr>
      <w:proofErr w:type="spellStart"/>
      <w:r w:rsidRPr="00DD3142">
        <w:rPr>
          <w:b/>
          <w:bCs/>
        </w:rPr>
        <w:t>Trimmed</w:t>
      </w:r>
      <w:proofErr w:type="spellEnd"/>
      <w:r w:rsidRPr="00DD3142">
        <w:rPr>
          <w:b/>
          <w:bCs/>
        </w:rPr>
        <w:t xml:space="preserve"> </w:t>
      </w:r>
      <w:proofErr w:type="spellStart"/>
      <w:r w:rsidRPr="00DD3142">
        <w:rPr>
          <w:b/>
          <w:bCs/>
        </w:rPr>
        <w:t>Mean</w:t>
      </w:r>
      <w:proofErr w:type="spellEnd"/>
      <w:r w:rsidRPr="00DD3142">
        <w:rPr>
          <w:b/>
          <w:bCs/>
        </w:rPr>
        <w:t xml:space="preserve"> PCE Inflation Rate</w:t>
      </w:r>
      <w:r w:rsidRPr="00DD3142">
        <w:br/>
      </w:r>
      <w:r w:rsidRPr="00DD3142">
        <w:rPr>
          <w:b/>
          <w:bCs/>
        </w:rPr>
        <w:t>FRED Code</w:t>
      </w:r>
      <w:r w:rsidRPr="00DD3142">
        <w:t>: PCETRIM12M159SFRBDAL</w:t>
      </w:r>
      <w:r w:rsidRPr="00DD3142">
        <w:br/>
      </w:r>
      <w:r w:rsidRPr="00DD3142">
        <w:rPr>
          <w:b/>
          <w:bCs/>
        </w:rPr>
        <w:t>Description</w:t>
      </w:r>
      <w:r w:rsidRPr="00DD3142">
        <w:t xml:space="preserve"> : Le </w:t>
      </w:r>
      <w:proofErr w:type="spellStart"/>
      <w:r w:rsidRPr="00DD3142">
        <w:t>Trimmed</w:t>
      </w:r>
      <w:proofErr w:type="spellEnd"/>
      <w:r w:rsidRPr="00DD3142">
        <w:t xml:space="preserve"> </w:t>
      </w:r>
      <w:proofErr w:type="spellStart"/>
      <w:r w:rsidRPr="00DD3142">
        <w:t>Mean</w:t>
      </w:r>
      <w:proofErr w:type="spellEnd"/>
      <w:r w:rsidRPr="00DD3142">
        <w:t xml:space="preserve"> PCE Inflation Rate est un indicateur alternatif de l'inflation de base dans l'indice des dépenses de consommation personnelle (PCE), utilisé par la Fed pour observer les tendances sous-jacentes. Il est calculé en éliminant les observations extrêmes dans les variations de prix des composants de la consommation personnelle, ce qui permet d’obtenir une mesure plus stable et prédictive de l'inflation. Ce taux a montré de meilleures performances que l'indice traditionnel "hors alimentation et énergie" pour évaluer l'inflation sous-jacente.</w:t>
      </w:r>
    </w:p>
    <w:p w14:paraId="6AF9ABAA" w14:textId="77777777" w:rsidR="00947F18" w:rsidRDefault="00947F18" w:rsidP="00947F18"/>
    <w:p w14:paraId="177331C4" w14:textId="3217D2AD" w:rsidR="005C3289" w:rsidRPr="001D3C83" w:rsidRDefault="005C3289" w:rsidP="005C3289">
      <w:pPr>
        <w:pStyle w:val="ListParagraph"/>
        <w:numPr>
          <w:ilvl w:val="0"/>
          <w:numId w:val="2"/>
        </w:numPr>
        <w:rPr>
          <w:rFonts w:ascii="Aptos Narrow" w:eastAsia="Times New Roman" w:hAnsi="Aptos Narrow" w:cs="Times New Roman"/>
          <w:color w:val="000000"/>
          <w:kern w:val="0"/>
          <w:lang w:eastAsia="en-CA"/>
          <w14:ligatures w14:val="none"/>
        </w:rPr>
      </w:pPr>
      <w:proofErr w:type="spellStart"/>
      <w:r w:rsidRPr="00C2352B">
        <w:rPr>
          <w:b/>
          <w:bCs/>
        </w:rPr>
        <w:t>Sticky</w:t>
      </w:r>
      <w:proofErr w:type="spellEnd"/>
      <w:r w:rsidRPr="00C2352B">
        <w:rPr>
          <w:b/>
          <w:bCs/>
        </w:rPr>
        <w:t xml:space="preserve"> Price Consumer Price Index</w:t>
      </w:r>
      <w:r w:rsidRPr="00C2352B">
        <w:br/>
      </w:r>
      <w:r w:rsidRPr="00C2352B">
        <w:rPr>
          <w:b/>
          <w:bCs/>
        </w:rPr>
        <w:t>FRED Code</w:t>
      </w:r>
      <w:r w:rsidRPr="00C2352B">
        <w:t xml:space="preserve">: </w:t>
      </w:r>
      <w:r w:rsidRPr="00C2352B">
        <w:rPr>
          <w:rFonts w:ascii="Aptos Narrow" w:eastAsia="Times New Roman" w:hAnsi="Aptos Narrow" w:cs="Times New Roman"/>
          <w:color w:val="000000"/>
          <w:kern w:val="0"/>
          <w:lang w:eastAsia="en-CA"/>
          <w14:ligatures w14:val="none"/>
        </w:rPr>
        <w:t>STICKCPIM157SFRBATL</w:t>
      </w:r>
      <w:r w:rsidRPr="00C2352B">
        <w:br/>
      </w:r>
      <w:r w:rsidRPr="005C3289">
        <w:rPr>
          <w:b/>
          <w:bCs/>
        </w:rPr>
        <w:t>Description</w:t>
      </w:r>
      <w:r w:rsidRPr="005C3289">
        <w:t xml:space="preserve"> : L'Indice des prix à la consommation pour les prix rigides suit les prix des biens et services qui changent relativement peu souvent, révélant ainsi des tendances d’inflation plus durables. Ces biens et services sont considérés comme intégrant davantage les attentes concernant l'inflation future, car leurs prix ne varient pas fréquemment. Une explication possible des prix rigides pourrait être les coûts pour les entreprises liés à la modification des prix.</w:t>
      </w:r>
    </w:p>
    <w:p w14:paraId="72A063BB" w14:textId="77777777" w:rsidR="005C3289" w:rsidRDefault="005C3289" w:rsidP="00947F18"/>
    <w:p w14:paraId="162CF6CE" w14:textId="532C42A0" w:rsidR="00C2352B" w:rsidRDefault="00C2352B" w:rsidP="00C2352B">
      <w:pPr>
        <w:pStyle w:val="ListParagraph"/>
        <w:numPr>
          <w:ilvl w:val="0"/>
          <w:numId w:val="2"/>
        </w:numPr>
      </w:pPr>
      <w:r w:rsidRPr="00C2352B">
        <w:rPr>
          <w:b/>
          <w:bCs/>
        </w:rPr>
        <w:t>Flexible Price Consumer Price Index</w:t>
      </w:r>
      <w:r w:rsidRPr="00C2352B">
        <w:br/>
      </w:r>
      <w:r w:rsidRPr="00C2352B">
        <w:rPr>
          <w:b/>
          <w:bCs/>
        </w:rPr>
        <w:t>FRED Code</w:t>
      </w:r>
      <w:r w:rsidRPr="00C2352B">
        <w:t>: FLEXCPIM679SFRBATL</w:t>
      </w:r>
      <w:r w:rsidRPr="00C2352B">
        <w:br/>
      </w:r>
      <w:r w:rsidRPr="00C2352B">
        <w:rPr>
          <w:b/>
          <w:bCs/>
        </w:rPr>
        <w:t>Description</w:t>
      </w:r>
      <w:r w:rsidRPr="00C2352B">
        <w:t xml:space="preserve"> : L'Indice des prix à la consommation pour les prix flexibles mesure les variations de prix des biens et services qui changent relativement fréquemment, mettant en évidence les pressions inflationnistes les plus immédiates. Contrairement à l'indice des prix rigides, il reflète moins les attentes concernant l'inflation future, car les prix flexibles s'ajustent rapidement aux conditions économiques actuelles ou à l'inflation sous-jacente.</w:t>
      </w:r>
    </w:p>
    <w:p w14:paraId="636439B3" w14:textId="77777777" w:rsidR="00B91F0D" w:rsidRDefault="00B91F0D" w:rsidP="00B91F0D">
      <w:pPr>
        <w:pStyle w:val="ListParagraph"/>
      </w:pPr>
    </w:p>
    <w:p w14:paraId="641212DA" w14:textId="77777777" w:rsidR="00B91F0D" w:rsidRDefault="00B91F0D" w:rsidP="00B91F0D">
      <w:pPr>
        <w:pStyle w:val="ListParagraph"/>
      </w:pPr>
    </w:p>
    <w:p w14:paraId="17E5EEDF" w14:textId="77777777" w:rsidR="00B91F0D" w:rsidRDefault="00B91F0D" w:rsidP="00B91F0D">
      <w:pPr>
        <w:pStyle w:val="ListParagraph"/>
      </w:pPr>
    </w:p>
    <w:p w14:paraId="68EB9895" w14:textId="77777777" w:rsidR="00B91F0D" w:rsidRDefault="00B91F0D" w:rsidP="00B91F0D">
      <w:pPr>
        <w:pStyle w:val="ListParagraph"/>
      </w:pPr>
    </w:p>
    <w:p w14:paraId="691B9E47" w14:textId="77777777" w:rsidR="00B91F0D" w:rsidRDefault="00B91F0D" w:rsidP="00B91F0D">
      <w:pPr>
        <w:pStyle w:val="ListParagraph"/>
      </w:pPr>
    </w:p>
    <w:p w14:paraId="41111027" w14:textId="77777777" w:rsidR="00B91F0D" w:rsidRDefault="00B91F0D" w:rsidP="00B91F0D">
      <w:pPr>
        <w:pStyle w:val="ListParagraph"/>
      </w:pPr>
    </w:p>
    <w:p w14:paraId="3794D2B5" w14:textId="548AE84E" w:rsidR="00B91F0D" w:rsidRPr="005A5F86" w:rsidRDefault="00B91F0D" w:rsidP="00B91F0D">
      <w:pPr>
        <w:pStyle w:val="ListParagraph"/>
        <w:numPr>
          <w:ilvl w:val="0"/>
          <w:numId w:val="2"/>
        </w:numPr>
      </w:pPr>
      <w:r w:rsidRPr="00B91F0D">
        <w:rPr>
          <w:b/>
          <w:bCs/>
        </w:rPr>
        <w:lastRenderedPageBreak/>
        <w:t xml:space="preserve">Dallas Fed </w:t>
      </w:r>
      <w:proofErr w:type="spellStart"/>
      <w:r w:rsidRPr="00B91F0D">
        <w:rPr>
          <w:b/>
          <w:bCs/>
        </w:rPr>
        <w:t>Trimmed</w:t>
      </w:r>
      <w:proofErr w:type="spellEnd"/>
      <w:r w:rsidRPr="00B91F0D">
        <w:rPr>
          <w:b/>
          <w:bCs/>
        </w:rPr>
        <w:t xml:space="preserve"> </w:t>
      </w:r>
      <w:proofErr w:type="spellStart"/>
      <w:r w:rsidRPr="00B91F0D">
        <w:rPr>
          <w:b/>
          <w:bCs/>
        </w:rPr>
        <w:t>Mean</w:t>
      </w:r>
      <w:proofErr w:type="spellEnd"/>
      <w:r w:rsidRPr="00B91F0D">
        <w:rPr>
          <w:b/>
          <w:bCs/>
        </w:rPr>
        <w:t xml:space="preserve"> PCE Inflation Rate</w:t>
      </w:r>
      <w:r w:rsidRPr="00B91F0D">
        <w:br/>
      </w:r>
      <w:r w:rsidRPr="00B91F0D">
        <w:rPr>
          <w:b/>
          <w:bCs/>
        </w:rPr>
        <w:t>FRED Code</w:t>
      </w:r>
      <w:r w:rsidRPr="00B91F0D">
        <w:t>: PCETRIM12M159SFRBDAL</w:t>
      </w:r>
      <w:r w:rsidRPr="00B91F0D">
        <w:br/>
      </w:r>
      <w:r w:rsidRPr="00B91F0D">
        <w:rPr>
          <w:b/>
          <w:bCs/>
        </w:rPr>
        <w:t>Description</w:t>
      </w:r>
      <w:r w:rsidRPr="00B91F0D">
        <w:t xml:space="preserve"> : Le </w:t>
      </w:r>
      <w:proofErr w:type="spellStart"/>
      <w:r w:rsidRPr="00B91F0D">
        <w:t>Trimmed</w:t>
      </w:r>
      <w:proofErr w:type="spellEnd"/>
      <w:r w:rsidRPr="00B91F0D">
        <w:t xml:space="preserve"> </w:t>
      </w:r>
      <w:proofErr w:type="spellStart"/>
      <w:r w:rsidRPr="00B91F0D">
        <w:t>Mean</w:t>
      </w:r>
      <w:proofErr w:type="spellEnd"/>
      <w:r w:rsidRPr="00B91F0D">
        <w:t xml:space="preserve"> PCE Inflation Rate produit par la </w:t>
      </w:r>
      <w:proofErr w:type="spellStart"/>
      <w:r w:rsidRPr="00B91F0D">
        <w:t>Federal</w:t>
      </w:r>
      <w:proofErr w:type="spellEnd"/>
      <w:r w:rsidRPr="00B91F0D">
        <w:t xml:space="preserve"> Reserve Bank of Dallas fournit une mesure des pressions inflationnistes en éliminant les valeurs extrêmes, offrant ainsi une analyse plus précise de l'inflation de fond. Cet indice est calculé en triant les changements de prix de chaque composant des dépenses de consommation personnelle et en éliminant une fraction des observations extrêmes avant de calculer la moyenne pondérée des autres composants.</w:t>
      </w:r>
    </w:p>
    <w:p w14:paraId="1176C900" w14:textId="77777777" w:rsidR="00947F18" w:rsidRDefault="00947F18" w:rsidP="00947F18"/>
    <w:p w14:paraId="7E261CCA" w14:textId="1BAC34DF" w:rsidR="00D92D79" w:rsidRDefault="00D92D79" w:rsidP="00D92D79">
      <w:pPr>
        <w:pStyle w:val="ListParagraph"/>
        <w:numPr>
          <w:ilvl w:val="0"/>
          <w:numId w:val="2"/>
        </w:numPr>
      </w:pPr>
      <w:proofErr w:type="spellStart"/>
      <w:r w:rsidRPr="00D92D79">
        <w:rPr>
          <w:b/>
          <w:bCs/>
        </w:rPr>
        <w:t>University</w:t>
      </w:r>
      <w:proofErr w:type="spellEnd"/>
      <w:r w:rsidRPr="00D92D79">
        <w:rPr>
          <w:b/>
          <w:bCs/>
        </w:rPr>
        <w:t xml:space="preserve"> of Michigan: Inflation Expectation</w:t>
      </w:r>
      <w:r w:rsidRPr="00D92D79">
        <w:br/>
      </w:r>
      <w:r w:rsidRPr="00D92D79">
        <w:rPr>
          <w:b/>
          <w:bCs/>
        </w:rPr>
        <w:t>FRED Code</w:t>
      </w:r>
      <w:r w:rsidRPr="00D92D79">
        <w:t>: MICH</w:t>
      </w:r>
      <w:r w:rsidRPr="00D92D79">
        <w:br/>
      </w:r>
      <w:r w:rsidRPr="00D92D79">
        <w:rPr>
          <w:b/>
          <w:bCs/>
        </w:rPr>
        <w:t>Description</w:t>
      </w:r>
      <w:r w:rsidRPr="00D92D79">
        <w:t xml:space="preserve"> : Basé sur les prévisions des consommateurs, cet indice fournit une vue sur les attentes futures de l'inflation, influençant les décisions de consommation. Il mesure le changement de prix médian prévu pour les 12 prochains mois, selon les </w:t>
      </w:r>
      <w:proofErr w:type="spellStart"/>
      <w:r w:rsidRPr="00D92D79">
        <w:t>Surveys</w:t>
      </w:r>
      <w:proofErr w:type="spellEnd"/>
      <w:r w:rsidRPr="00D92D79">
        <w:t xml:space="preserve"> of </w:t>
      </w:r>
      <w:proofErr w:type="spellStart"/>
      <w:r w:rsidRPr="00D92D79">
        <w:t>Consumers</w:t>
      </w:r>
      <w:proofErr w:type="spellEnd"/>
      <w:r w:rsidRPr="00D92D79">
        <w:t>. La valeur la plus récente n'est pas affichée en raison d'un accord avec la source.</w:t>
      </w:r>
    </w:p>
    <w:p w14:paraId="411E0066" w14:textId="77777777" w:rsidR="00D92D79" w:rsidRDefault="00D92D79" w:rsidP="00D92D79">
      <w:pPr>
        <w:pStyle w:val="ListParagraph"/>
      </w:pPr>
    </w:p>
    <w:p w14:paraId="2BF069F7" w14:textId="77777777" w:rsidR="00D92D79" w:rsidRDefault="00D92D79" w:rsidP="00D92D79">
      <w:pPr>
        <w:pStyle w:val="Heading1"/>
      </w:pPr>
    </w:p>
    <w:p w14:paraId="7C027B69" w14:textId="77777777" w:rsidR="00EB733E" w:rsidRDefault="00EB733E" w:rsidP="00EB733E"/>
    <w:p w14:paraId="2CE9CD0C" w14:textId="77777777" w:rsidR="00EB733E" w:rsidRDefault="00EB733E" w:rsidP="00EB733E"/>
    <w:p w14:paraId="6DF5E4B5" w14:textId="77777777" w:rsidR="00EB733E" w:rsidRDefault="00EB733E" w:rsidP="00EB733E"/>
    <w:p w14:paraId="662ACD8C" w14:textId="77777777" w:rsidR="00EB733E" w:rsidRDefault="00EB733E" w:rsidP="00EB733E"/>
    <w:p w14:paraId="447B088C" w14:textId="77777777" w:rsidR="00EB733E" w:rsidRDefault="00EB733E" w:rsidP="00EB733E"/>
    <w:p w14:paraId="0C7C5B70" w14:textId="77777777" w:rsidR="00EB733E" w:rsidRDefault="00EB733E" w:rsidP="00EB733E"/>
    <w:p w14:paraId="5676C244" w14:textId="77777777" w:rsidR="00EB733E" w:rsidRDefault="00EB733E" w:rsidP="00EB733E"/>
    <w:p w14:paraId="2DE7697C" w14:textId="77777777" w:rsidR="00EB733E" w:rsidRDefault="00EB733E" w:rsidP="00EB733E"/>
    <w:p w14:paraId="5AE4D478" w14:textId="77777777" w:rsidR="00EB733E" w:rsidRDefault="00EB733E" w:rsidP="00EB733E"/>
    <w:p w14:paraId="07A9749F" w14:textId="77777777" w:rsidR="00EB733E" w:rsidRDefault="00EB733E" w:rsidP="00EB733E"/>
    <w:p w14:paraId="10DB14E4" w14:textId="77777777" w:rsidR="00EB733E" w:rsidRDefault="00EB733E" w:rsidP="00EB733E"/>
    <w:p w14:paraId="58779DE0" w14:textId="77777777" w:rsidR="00EB733E" w:rsidRDefault="00EB733E" w:rsidP="00EB733E"/>
    <w:p w14:paraId="48BFC449" w14:textId="77777777" w:rsidR="00EB733E" w:rsidRDefault="00EB733E" w:rsidP="00EB733E"/>
    <w:p w14:paraId="6B9AC316" w14:textId="77777777" w:rsidR="00EB733E" w:rsidRPr="00EB733E" w:rsidRDefault="00EB733E" w:rsidP="00EB733E"/>
    <w:p w14:paraId="7A55065B" w14:textId="65EE6708" w:rsidR="00D92D79" w:rsidRDefault="00D92D79" w:rsidP="00D92D79">
      <w:pPr>
        <w:pStyle w:val="Heading1"/>
      </w:pPr>
      <w:r w:rsidRPr="00D92D79">
        <w:lastRenderedPageBreak/>
        <w:t xml:space="preserve">Catégorie : </w:t>
      </w:r>
      <w:r w:rsidR="004060F6">
        <w:t xml:space="preserve">Chômage </w:t>
      </w:r>
    </w:p>
    <w:p w14:paraId="6B9E4584" w14:textId="77777777" w:rsidR="004060F6" w:rsidRPr="004060F6" w:rsidRDefault="004060F6" w:rsidP="004060F6"/>
    <w:p w14:paraId="25D3E0CC" w14:textId="52BDD604" w:rsidR="00D92D79" w:rsidRDefault="00273D1D" w:rsidP="00273D1D">
      <w:pPr>
        <w:pStyle w:val="ListParagraph"/>
        <w:numPr>
          <w:ilvl w:val="0"/>
          <w:numId w:val="4"/>
        </w:numPr>
      </w:pPr>
      <w:proofErr w:type="spellStart"/>
      <w:r w:rsidRPr="00273D1D">
        <w:rPr>
          <w:b/>
          <w:bCs/>
        </w:rPr>
        <w:t>Civilian</w:t>
      </w:r>
      <w:proofErr w:type="spellEnd"/>
      <w:r w:rsidRPr="00273D1D">
        <w:rPr>
          <w:b/>
          <w:bCs/>
        </w:rPr>
        <w:t xml:space="preserve"> </w:t>
      </w:r>
      <w:proofErr w:type="spellStart"/>
      <w:r w:rsidRPr="00273D1D">
        <w:rPr>
          <w:b/>
          <w:bCs/>
        </w:rPr>
        <w:t>Unemployment</w:t>
      </w:r>
      <w:proofErr w:type="spellEnd"/>
      <w:r w:rsidRPr="00273D1D">
        <w:rPr>
          <w:b/>
          <w:bCs/>
        </w:rPr>
        <w:t xml:space="preserve"> Rate</w:t>
      </w:r>
      <w:r w:rsidRPr="00273D1D">
        <w:br/>
      </w:r>
      <w:r w:rsidRPr="00273D1D">
        <w:rPr>
          <w:b/>
          <w:bCs/>
        </w:rPr>
        <w:t>FRED Code</w:t>
      </w:r>
      <w:r w:rsidRPr="00273D1D">
        <w:t>: UNRATE</w:t>
      </w:r>
      <w:r w:rsidRPr="00273D1D">
        <w:br/>
      </w:r>
      <w:r w:rsidRPr="00273D1D">
        <w:rPr>
          <w:b/>
          <w:bCs/>
        </w:rPr>
        <w:t>Description</w:t>
      </w:r>
      <w:r w:rsidRPr="00273D1D">
        <w:t xml:space="preserve"> : Le taux de chômage de la population civile est une mesure clé des conditions du marché du travail, reflétant les pressions économiques et les risques de ralentissement de la consommation. Il représente le nombre de chômeurs en pourcentage de la population active, qui inclut les personnes de 16 ans et plus, résidant dans les 50 États ou le District de Columbia, et non institutionnalisées. Ce taux est défini comme la mesure U-3 de l'utilisation sous-optimale de la main-d'œuvre.</w:t>
      </w:r>
    </w:p>
    <w:p w14:paraId="0AECBE65" w14:textId="77777777" w:rsidR="000602E5" w:rsidRDefault="000602E5" w:rsidP="000602E5"/>
    <w:p w14:paraId="5F2ACE7A" w14:textId="1DA7397E" w:rsidR="00273D1D" w:rsidRDefault="000602E5" w:rsidP="000602E5">
      <w:pPr>
        <w:pStyle w:val="ListParagraph"/>
        <w:numPr>
          <w:ilvl w:val="0"/>
          <w:numId w:val="4"/>
        </w:numPr>
      </w:pPr>
      <w:r w:rsidRPr="000602E5">
        <w:rPr>
          <w:b/>
          <w:bCs/>
        </w:rPr>
        <w:t>Initial Claims</w:t>
      </w:r>
      <w:r>
        <w:rPr>
          <w:b/>
          <w:bCs/>
        </w:rPr>
        <w:t xml:space="preserve"> </w:t>
      </w:r>
      <w:r w:rsidRPr="000602E5">
        <w:rPr>
          <w:b/>
          <w:bCs/>
        </w:rPr>
        <w:sym w:font="Wingdings" w:char="F0E0"/>
      </w:r>
      <w:r>
        <w:rPr>
          <w:b/>
          <w:bCs/>
        </w:rPr>
        <w:t xml:space="preserve"> </w:t>
      </w:r>
      <w:r w:rsidRPr="000602E5">
        <w:rPr>
          <w:b/>
          <w:bCs/>
          <w:color w:val="FF0000"/>
        </w:rPr>
        <w:t>(Chaque 2 semaines)</w:t>
      </w:r>
      <w:r w:rsidRPr="000602E5">
        <w:br/>
      </w:r>
      <w:r w:rsidRPr="000602E5">
        <w:rPr>
          <w:b/>
          <w:bCs/>
        </w:rPr>
        <w:t>FRED Code</w:t>
      </w:r>
      <w:r w:rsidRPr="000602E5">
        <w:t>: ICSA</w:t>
      </w:r>
      <w:r w:rsidRPr="000602E5">
        <w:br/>
      </w:r>
      <w:r w:rsidRPr="000602E5">
        <w:rPr>
          <w:b/>
          <w:bCs/>
        </w:rPr>
        <w:t xml:space="preserve">Description : </w:t>
      </w:r>
      <w:r w:rsidRPr="000602E5">
        <w:t>Les demandes initiales correspondent au nombre de nouvelles demandes d’assurance chômage déposées chaque semaine, indiquant les changements récents dans le marché du travail. Une demande initiale est déposée par un individu au chômage après une séparation avec un employeur, et elle sert à déterminer l'éligibilité de base pour le programme d'assurance chômage.</w:t>
      </w:r>
    </w:p>
    <w:p w14:paraId="297D5301" w14:textId="77777777" w:rsidR="00D92D79" w:rsidRDefault="00D92D79" w:rsidP="00947F18"/>
    <w:p w14:paraId="7E2CD200" w14:textId="6CAF1E27" w:rsidR="000602E5" w:rsidRPr="000602E5" w:rsidRDefault="000602E5" w:rsidP="000602E5">
      <w:pPr>
        <w:pStyle w:val="ListParagraph"/>
        <w:numPr>
          <w:ilvl w:val="0"/>
          <w:numId w:val="4"/>
        </w:numPr>
      </w:pPr>
      <w:proofErr w:type="spellStart"/>
      <w:r w:rsidRPr="000602E5">
        <w:rPr>
          <w:b/>
          <w:bCs/>
        </w:rPr>
        <w:t>Average</w:t>
      </w:r>
      <w:proofErr w:type="spellEnd"/>
      <w:r w:rsidRPr="000602E5">
        <w:rPr>
          <w:b/>
          <w:bCs/>
        </w:rPr>
        <w:t xml:space="preserve"> Weekly </w:t>
      </w:r>
      <w:proofErr w:type="spellStart"/>
      <w:r w:rsidRPr="000602E5">
        <w:rPr>
          <w:b/>
          <w:bCs/>
        </w:rPr>
        <w:t>Hours</w:t>
      </w:r>
      <w:proofErr w:type="spellEnd"/>
      <w:r w:rsidRPr="000602E5">
        <w:rPr>
          <w:b/>
          <w:bCs/>
        </w:rPr>
        <w:t xml:space="preserve"> of Production and </w:t>
      </w:r>
      <w:proofErr w:type="spellStart"/>
      <w:r w:rsidRPr="000602E5">
        <w:rPr>
          <w:b/>
          <w:bCs/>
        </w:rPr>
        <w:t>Nonsupervisory</w:t>
      </w:r>
      <w:proofErr w:type="spellEnd"/>
      <w:r w:rsidRPr="000602E5">
        <w:rPr>
          <w:b/>
          <w:bCs/>
        </w:rPr>
        <w:t xml:space="preserve"> </w:t>
      </w:r>
      <w:proofErr w:type="spellStart"/>
      <w:r w:rsidRPr="000602E5">
        <w:rPr>
          <w:b/>
          <w:bCs/>
        </w:rPr>
        <w:t>Employees</w:t>
      </w:r>
      <w:proofErr w:type="spellEnd"/>
      <w:r w:rsidRPr="000602E5">
        <w:rPr>
          <w:b/>
          <w:bCs/>
        </w:rPr>
        <w:t xml:space="preserve">: </w:t>
      </w:r>
      <w:proofErr w:type="spellStart"/>
      <w:r w:rsidRPr="000602E5">
        <w:rPr>
          <w:b/>
          <w:bCs/>
        </w:rPr>
        <w:t>Manufacturing</w:t>
      </w:r>
      <w:proofErr w:type="spellEnd"/>
      <w:r w:rsidRPr="000602E5">
        <w:br/>
      </w:r>
      <w:r w:rsidRPr="000602E5">
        <w:rPr>
          <w:b/>
          <w:bCs/>
        </w:rPr>
        <w:t>FRED Code</w:t>
      </w:r>
      <w:r w:rsidRPr="000602E5">
        <w:t>: AWHMAN</w:t>
      </w:r>
      <w:r w:rsidRPr="000602E5">
        <w:br/>
      </w:r>
      <w:r w:rsidRPr="000602E5">
        <w:rPr>
          <w:b/>
          <w:bCs/>
        </w:rPr>
        <w:t>Description</w:t>
      </w:r>
      <w:r w:rsidRPr="000602E5">
        <w:t xml:space="preserve"> : Une augmentation ou diminution des heures de travail hebdomadaires est souvent un indicateur précoce de variations dans l'emploi, car les entreprises ajustent les heures avant de recruter ou de licencier. Cet indice mesure le nombre moyen d'heures travaillées par les employés de production et non-supervisés dans le secteur manufacturier. Il reflète l'impact des facteurs tels que l'absentéisme, la rotation du personnel, le travail à temps partiel, et les arrêts de travail.</w:t>
      </w:r>
    </w:p>
    <w:p w14:paraId="634BCDA3" w14:textId="77777777" w:rsidR="000602E5" w:rsidRDefault="000602E5" w:rsidP="00947F18"/>
    <w:p w14:paraId="2A08C3BC" w14:textId="5E1CF611" w:rsidR="000602E5" w:rsidRDefault="000602E5" w:rsidP="000602E5">
      <w:pPr>
        <w:pStyle w:val="ListParagraph"/>
        <w:numPr>
          <w:ilvl w:val="0"/>
          <w:numId w:val="4"/>
        </w:numPr>
      </w:pPr>
      <w:proofErr w:type="spellStart"/>
      <w:r w:rsidRPr="000602E5">
        <w:rPr>
          <w:b/>
          <w:bCs/>
        </w:rPr>
        <w:t>Nonfarm</w:t>
      </w:r>
      <w:proofErr w:type="spellEnd"/>
      <w:r w:rsidRPr="000602E5">
        <w:rPr>
          <w:b/>
          <w:bCs/>
        </w:rPr>
        <w:t xml:space="preserve"> </w:t>
      </w:r>
      <w:proofErr w:type="spellStart"/>
      <w:r w:rsidRPr="000602E5">
        <w:rPr>
          <w:b/>
          <w:bCs/>
        </w:rPr>
        <w:t>Payroll</w:t>
      </w:r>
      <w:proofErr w:type="spellEnd"/>
      <w:r w:rsidRPr="000602E5">
        <w:rPr>
          <w:b/>
          <w:bCs/>
        </w:rPr>
        <w:t xml:space="preserve"> </w:t>
      </w:r>
      <w:proofErr w:type="spellStart"/>
      <w:r w:rsidRPr="000602E5">
        <w:rPr>
          <w:b/>
          <w:bCs/>
        </w:rPr>
        <w:t>Employment</w:t>
      </w:r>
      <w:proofErr w:type="spellEnd"/>
      <w:r w:rsidRPr="000602E5">
        <w:br/>
      </w:r>
      <w:r w:rsidRPr="000602E5">
        <w:rPr>
          <w:b/>
          <w:bCs/>
        </w:rPr>
        <w:t>FRED Code</w:t>
      </w:r>
      <w:r w:rsidRPr="000602E5">
        <w:t>: PAYEMS</w:t>
      </w:r>
      <w:r w:rsidRPr="000602E5">
        <w:br/>
      </w:r>
      <w:r w:rsidRPr="000602E5">
        <w:rPr>
          <w:b/>
          <w:bCs/>
        </w:rPr>
        <w:t>Description</w:t>
      </w:r>
      <w:r w:rsidRPr="000602E5">
        <w:t xml:space="preserve"> : Le nombre d'emplois non agricoles fournit une vue d'ensemble des emplois dans l'économie américaine, excluant les exploitants, les employés de ménages privés, les bénévoles non rémunérés, les employés agricoles et les travailleurs non incorporés. Cet indice représente environ 80 % des travailleurs contribuant au produit intérieur brut (PIB). Il offre des informations clés sur la santé économique et la croissance de l'emploi, car une augmentation des emplois peut indiquer une croissance des entreprises et une hausse des revenus personnels, favorisant ainsi l'expansion économique.</w:t>
      </w:r>
    </w:p>
    <w:p w14:paraId="64113BF1" w14:textId="77777777" w:rsidR="000602E5" w:rsidRDefault="000602E5" w:rsidP="00947F18"/>
    <w:p w14:paraId="728B12F4" w14:textId="1F4EB6A1" w:rsidR="00CA2083" w:rsidRDefault="00CA2083" w:rsidP="00CA2083">
      <w:pPr>
        <w:pStyle w:val="ListParagraph"/>
        <w:numPr>
          <w:ilvl w:val="0"/>
          <w:numId w:val="4"/>
        </w:numPr>
      </w:pPr>
      <w:r w:rsidRPr="00CA2083">
        <w:rPr>
          <w:b/>
          <w:bCs/>
        </w:rPr>
        <w:lastRenderedPageBreak/>
        <w:t>Labor Force Participation Rate</w:t>
      </w:r>
      <w:r w:rsidRPr="00CA2083">
        <w:br/>
      </w:r>
      <w:r w:rsidRPr="00CA2083">
        <w:rPr>
          <w:b/>
          <w:bCs/>
        </w:rPr>
        <w:t>FRED Code</w:t>
      </w:r>
      <w:r w:rsidRPr="00CA2083">
        <w:t>: CIVPART</w:t>
      </w:r>
      <w:r w:rsidRPr="00CA2083">
        <w:br/>
      </w:r>
      <w:r w:rsidRPr="00CA2083">
        <w:rPr>
          <w:b/>
          <w:bCs/>
        </w:rPr>
        <w:t>Description</w:t>
      </w:r>
      <w:r w:rsidRPr="00CA2083">
        <w:t xml:space="preserve"> : Le taux de participation à la population active indique le pourcentage de la population civile qui travaille ou recherche activement un emploi. Cet indice est essentiel pour observer les tendances à long terme du marché du travail, car des changements dans ce taux peuvent refléter des tendances économiques de fond, telles que l'impact du vieillissement démographique. Le taux de participation est collecté dans le </w:t>
      </w:r>
      <w:proofErr w:type="spellStart"/>
      <w:r w:rsidRPr="00CA2083">
        <w:t>Current</w:t>
      </w:r>
      <w:proofErr w:type="spellEnd"/>
      <w:r w:rsidRPr="00CA2083">
        <w:t xml:space="preserve"> Population Survey (CPS) et publié chaque mois par le Bureau of Labor </w:t>
      </w:r>
      <w:proofErr w:type="spellStart"/>
      <w:r w:rsidRPr="00CA2083">
        <w:t>Statistics</w:t>
      </w:r>
      <w:proofErr w:type="spellEnd"/>
      <w:r w:rsidRPr="00CA2083">
        <w:t xml:space="preserve"> (BLS).</w:t>
      </w:r>
    </w:p>
    <w:p w14:paraId="42E840A3" w14:textId="77777777" w:rsidR="00CA2083" w:rsidRDefault="00CA2083" w:rsidP="00CA2083">
      <w:pPr>
        <w:pStyle w:val="ListParagraph"/>
      </w:pPr>
    </w:p>
    <w:p w14:paraId="71112E34" w14:textId="77777777" w:rsidR="00A06AD6" w:rsidRDefault="00A06AD6" w:rsidP="00CA2083">
      <w:pPr>
        <w:pStyle w:val="ListParagraph"/>
      </w:pPr>
    </w:p>
    <w:p w14:paraId="57646E4C" w14:textId="156307D2" w:rsidR="00CA2083" w:rsidRDefault="00A06AD6" w:rsidP="00A06AD6">
      <w:pPr>
        <w:pStyle w:val="ListParagraph"/>
        <w:numPr>
          <w:ilvl w:val="0"/>
          <w:numId w:val="4"/>
        </w:numPr>
      </w:pPr>
      <w:proofErr w:type="spellStart"/>
      <w:r w:rsidRPr="00A06AD6">
        <w:rPr>
          <w:b/>
          <w:bCs/>
        </w:rPr>
        <w:t>Employment</w:t>
      </w:r>
      <w:proofErr w:type="spellEnd"/>
      <w:r w:rsidRPr="00A06AD6">
        <w:rPr>
          <w:b/>
          <w:bCs/>
        </w:rPr>
        <w:t>-Population Ratio</w:t>
      </w:r>
      <w:r w:rsidRPr="00A06AD6">
        <w:br/>
      </w:r>
      <w:r w:rsidRPr="00A06AD6">
        <w:rPr>
          <w:b/>
          <w:bCs/>
        </w:rPr>
        <w:t>FRED Code</w:t>
      </w:r>
      <w:r w:rsidRPr="00A06AD6">
        <w:t>: EMRATIO</w:t>
      </w:r>
      <w:r w:rsidRPr="00A06AD6">
        <w:br/>
      </w:r>
      <w:r w:rsidRPr="00A06AD6">
        <w:rPr>
          <w:b/>
          <w:bCs/>
        </w:rPr>
        <w:t>Description</w:t>
      </w:r>
      <w:r w:rsidRPr="00A06AD6">
        <w:t xml:space="preserve"> : Le taux d'emploi-population mesure la proportion de personnes employées dans la population en âge de travailler. Cet indice offre une perspective sur la santé globale du marché du travail, indiquant le pourcentage de la population active qui est effectivement employée, ce qui peut fournir des informations sur la dynamique de l'emploi dans l'économie.</w:t>
      </w:r>
    </w:p>
    <w:p w14:paraId="2520D4B2" w14:textId="77777777" w:rsidR="00CA2083" w:rsidRDefault="00CA2083" w:rsidP="00CA2083"/>
    <w:p w14:paraId="1AC72BB4" w14:textId="77777777" w:rsidR="00A06AD6" w:rsidRDefault="00A06AD6" w:rsidP="00CA2083"/>
    <w:p w14:paraId="03E30271" w14:textId="77777777" w:rsidR="00A06AD6" w:rsidRDefault="00A06AD6" w:rsidP="00CA2083"/>
    <w:p w14:paraId="0067E48B" w14:textId="77777777" w:rsidR="00A06AD6" w:rsidRDefault="00A06AD6" w:rsidP="00CA2083"/>
    <w:p w14:paraId="12A361DF" w14:textId="77777777" w:rsidR="00A06AD6" w:rsidRDefault="00A06AD6" w:rsidP="00CA2083"/>
    <w:p w14:paraId="70219955" w14:textId="7F43F47D" w:rsidR="00A06AD6" w:rsidRDefault="00A06AD6" w:rsidP="00A06AD6">
      <w:pPr>
        <w:pStyle w:val="ListParagraph"/>
        <w:numPr>
          <w:ilvl w:val="0"/>
          <w:numId w:val="4"/>
        </w:numPr>
      </w:pPr>
      <w:r w:rsidRPr="00A06AD6">
        <w:rPr>
          <w:b/>
          <w:bCs/>
        </w:rPr>
        <w:t xml:space="preserve">Part-Time for </w:t>
      </w:r>
      <w:proofErr w:type="spellStart"/>
      <w:r w:rsidRPr="00A06AD6">
        <w:rPr>
          <w:b/>
          <w:bCs/>
        </w:rPr>
        <w:t>Economic</w:t>
      </w:r>
      <w:proofErr w:type="spellEnd"/>
      <w:r w:rsidRPr="00A06AD6">
        <w:rPr>
          <w:b/>
          <w:bCs/>
        </w:rPr>
        <w:t xml:space="preserve"> </w:t>
      </w:r>
      <w:proofErr w:type="spellStart"/>
      <w:r w:rsidRPr="00A06AD6">
        <w:rPr>
          <w:b/>
          <w:bCs/>
        </w:rPr>
        <w:t>Reasons</w:t>
      </w:r>
      <w:proofErr w:type="spellEnd"/>
      <w:r w:rsidRPr="00A06AD6">
        <w:rPr>
          <w:b/>
          <w:bCs/>
        </w:rPr>
        <w:t>: All Industries</w:t>
      </w:r>
      <w:r w:rsidRPr="00A06AD6">
        <w:br/>
      </w:r>
      <w:r w:rsidRPr="00A06AD6">
        <w:rPr>
          <w:b/>
          <w:bCs/>
        </w:rPr>
        <w:t>FRED Code</w:t>
      </w:r>
      <w:r w:rsidRPr="00A06AD6">
        <w:t>: LNS12032194</w:t>
      </w:r>
      <w:r w:rsidRPr="00A06AD6">
        <w:br/>
      </w:r>
      <w:r w:rsidRPr="00A06AD6">
        <w:rPr>
          <w:b/>
          <w:bCs/>
        </w:rPr>
        <w:t>Description</w:t>
      </w:r>
      <w:r w:rsidRPr="00A06AD6">
        <w:t xml:space="preserve"> : Le nombre de travailleurs involontairement à temps partiel reflète les difficultés économiques persistantes, car ces employés sont contraints de travailler à temps partiel malgré leur désir de travailler à temps plein. Cet indicateur est utile pour évaluer les tensions économiques et les niveaux de sous-emploi dans l'économie.</w:t>
      </w:r>
    </w:p>
    <w:p w14:paraId="4F7FA89E" w14:textId="77777777" w:rsidR="00A06AD6" w:rsidRDefault="00A06AD6" w:rsidP="00A06AD6"/>
    <w:p w14:paraId="22F1B050" w14:textId="535E47AF" w:rsidR="00B13CC1" w:rsidRDefault="00B13CC1" w:rsidP="00B13CC1">
      <w:pPr>
        <w:pStyle w:val="ListParagraph"/>
        <w:numPr>
          <w:ilvl w:val="0"/>
          <w:numId w:val="4"/>
        </w:numPr>
      </w:pPr>
      <w:proofErr w:type="spellStart"/>
      <w:r w:rsidRPr="00B13CC1">
        <w:rPr>
          <w:b/>
          <w:bCs/>
        </w:rPr>
        <w:t>Continuing</w:t>
      </w:r>
      <w:proofErr w:type="spellEnd"/>
      <w:r w:rsidRPr="00B13CC1">
        <w:rPr>
          <w:b/>
          <w:bCs/>
        </w:rPr>
        <w:t xml:space="preserve"> Claims</w:t>
      </w:r>
      <w:r>
        <w:rPr>
          <w:b/>
          <w:bCs/>
        </w:rPr>
        <w:t xml:space="preserve"> </w:t>
      </w:r>
      <w:r w:rsidRPr="00B13CC1">
        <w:rPr>
          <w:b/>
          <w:bCs/>
        </w:rPr>
        <w:sym w:font="Wingdings" w:char="F0E0"/>
      </w:r>
      <w:r>
        <w:rPr>
          <w:b/>
          <w:bCs/>
        </w:rPr>
        <w:t xml:space="preserve"> </w:t>
      </w:r>
      <w:r w:rsidRPr="00B13CC1">
        <w:rPr>
          <w:b/>
          <w:bCs/>
          <w:color w:val="FF0000"/>
        </w:rPr>
        <w:t>(Chaque 2 semaines)</w:t>
      </w:r>
      <w:r w:rsidRPr="00B13CC1">
        <w:br/>
      </w:r>
      <w:r w:rsidRPr="00B13CC1">
        <w:rPr>
          <w:b/>
          <w:bCs/>
        </w:rPr>
        <w:t>FRED Code</w:t>
      </w:r>
      <w:r w:rsidRPr="00B13CC1">
        <w:t>: CCNSA</w:t>
      </w:r>
      <w:r w:rsidRPr="00B13CC1">
        <w:br/>
      </w:r>
      <w:r w:rsidRPr="00B13CC1">
        <w:rPr>
          <w:b/>
          <w:bCs/>
        </w:rPr>
        <w:t>Description</w:t>
      </w:r>
      <w:r w:rsidRPr="00B13CC1">
        <w:t xml:space="preserve"> : Les demandes d'assurance chômage en cours mesurent le nombre de personnes qui continuent de recevoir des allocations de chômage, indiquant la persistance du chômage dans l'économie. Cet indice fournit un aperçu des tendances du chômage à moyen terme.</w:t>
      </w:r>
    </w:p>
    <w:p w14:paraId="0F834E5E" w14:textId="77777777" w:rsidR="00B13CC1" w:rsidRDefault="00B13CC1" w:rsidP="00B13CC1">
      <w:pPr>
        <w:pStyle w:val="ListParagraph"/>
      </w:pPr>
    </w:p>
    <w:p w14:paraId="4D213F39" w14:textId="77777777" w:rsidR="00B13CC1" w:rsidRDefault="00B13CC1" w:rsidP="00B13CC1"/>
    <w:p w14:paraId="66966721" w14:textId="77777777" w:rsidR="00EB733E" w:rsidRDefault="00EB733E" w:rsidP="00B13CC1"/>
    <w:p w14:paraId="07680C57" w14:textId="77777777" w:rsidR="00EB733E" w:rsidRDefault="00EB733E" w:rsidP="00B13CC1"/>
    <w:p w14:paraId="58AAAF51" w14:textId="435D0960" w:rsidR="00B13CC1" w:rsidRDefault="00EB733E" w:rsidP="00EB733E">
      <w:pPr>
        <w:pStyle w:val="ListParagraph"/>
        <w:numPr>
          <w:ilvl w:val="0"/>
          <w:numId w:val="4"/>
        </w:numPr>
      </w:pPr>
      <w:proofErr w:type="spellStart"/>
      <w:r w:rsidRPr="00EB733E">
        <w:rPr>
          <w:b/>
          <w:bCs/>
        </w:rPr>
        <w:lastRenderedPageBreak/>
        <w:t>Average</w:t>
      </w:r>
      <w:proofErr w:type="spellEnd"/>
      <w:r w:rsidRPr="00EB733E">
        <w:rPr>
          <w:b/>
          <w:bCs/>
        </w:rPr>
        <w:t xml:space="preserve"> </w:t>
      </w:r>
      <w:proofErr w:type="spellStart"/>
      <w:r w:rsidRPr="00EB733E">
        <w:rPr>
          <w:b/>
          <w:bCs/>
        </w:rPr>
        <w:t>Hourly</w:t>
      </w:r>
      <w:proofErr w:type="spellEnd"/>
      <w:r w:rsidRPr="00EB733E">
        <w:rPr>
          <w:b/>
          <w:bCs/>
        </w:rPr>
        <w:t xml:space="preserve"> </w:t>
      </w:r>
      <w:proofErr w:type="spellStart"/>
      <w:r w:rsidRPr="00EB733E">
        <w:rPr>
          <w:b/>
          <w:bCs/>
        </w:rPr>
        <w:t>Earnings</w:t>
      </w:r>
      <w:proofErr w:type="spellEnd"/>
      <w:r w:rsidRPr="00EB733E">
        <w:rPr>
          <w:b/>
          <w:bCs/>
        </w:rPr>
        <w:t xml:space="preserve"> of Production and </w:t>
      </w:r>
      <w:proofErr w:type="spellStart"/>
      <w:r w:rsidRPr="00EB733E">
        <w:rPr>
          <w:b/>
          <w:bCs/>
        </w:rPr>
        <w:t>Nonsupervisory</w:t>
      </w:r>
      <w:proofErr w:type="spellEnd"/>
      <w:r w:rsidRPr="00EB733E">
        <w:rPr>
          <w:b/>
          <w:bCs/>
        </w:rPr>
        <w:t xml:space="preserve"> </w:t>
      </w:r>
      <w:proofErr w:type="spellStart"/>
      <w:r w:rsidRPr="00EB733E">
        <w:rPr>
          <w:b/>
          <w:bCs/>
        </w:rPr>
        <w:t>Employees</w:t>
      </w:r>
      <w:proofErr w:type="spellEnd"/>
      <w:r w:rsidRPr="00EB733E">
        <w:rPr>
          <w:b/>
          <w:bCs/>
        </w:rPr>
        <w:t xml:space="preserve">: Total </w:t>
      </w:r>
      <w:proofErr w:type="spellStart"/>
      <w:r w:rsidRPr="00EB733E">
        <w:rPr>
          <w:b/>
          <w:bCs/>
        </w:rPr>
        <w:t>Private</w:t>
      </w:r>
      <w:proofErr w:type="spellEnd"/>
      <w:r w:rsidRPr="00EB733E">
        <w:br/>
      </w:r>
      <w:r w:rsidRPr="00EB733E">
        <w:rPr>
          <w:b/>
          <w:bCs/>
        </w:rPr>
        <w:t>FRED Code</w:t>
      </w:r>
      <w:r w:rsidRPr="00EB733E">
        <w:t>: AHETPI</w:t>
      </w:r>
      <w:r w:rsidRPr="00EB733E">
        <w:br/>
      </w:r>
      <w:r w:rsidRPr="00EB733E">
        <w:rPr>
          <w:b/>
          <w:bCs/>
        </w:rPr>
        <w:t>Description</w:t>
      </w:r>
      <w:r w:rsidRPr="00EB733E">
        <w:t xml:space="preserve"> : Les gains horaires moyens des employés de production et non-supervisés dans le secteur privé offrent une vue des variations des salaires, un facteur clé pour évaluer le pouvoir d'achat et les pressions inflationnistes. Cet indice mesure l'évolution des salaires dans le secteur privé pour les employés non-supervisés et ceux liés à la production, incluant divers secteurs comme l'assemblage, la maintenance, et le développement de produits.</w:t>
      </w:r>
    </w:p>
    <w:p w14:paraId="634CC9A1" w14:textId="77777777" w:rsidR="00D92D79" w:rsidRDefault="00D92D79" w:rsidP="00947F18"/>
    <w:p w14:paraId="17639C60" w14:textId="77777777" w:rsidR="00D92D79" w:rsidRDefault="00D92D79" w:rsidP="00947F18"/>
    <w:p w14:paraId="1857A691" w14:textId="77777777" w:rsidR="007352F8" w:rsidRDefault="007352F8" w:rsidP="00947F18"/>
    <w:p w14:paraId="435E46C4" w14:textId="77777777" w:rsidR="007352F8" w:rsidRDefault="007352F8" w:rsidP="00947F18"/>
    <w:p w14:paraId="75ED29E8" w14:textId="77777777" w:rsidR="007352F8" w:rsidRDefault="007352F8" w:rsidP="00947F18"/>
    <w:p w14:paraId="58118B89" w14:textId="77777777" w:rsidR="007352F8" w:rsidRDefault="007352F8" w:rsidP="00947F18"/>
    <w:p w14:paraId="38CD7552" w14:textId="77777777" w:rsidR="007352F8" w:rsidRDefault="007352F8" w:rsidP="00947F18"/>
    <w:p w14:paraId="3F0E49FC" w14:textId="77777777" w:rsidR="007352F8" w:rsidRDefault="007352F8" w:rsidP="00947F18"/>
    <w:p w14:paraId="03707295" w14:textId="77777777" w:rsidR="007352F8" w:rsidRDefault="007352F8" w:rsidP="00947F18"/>
    <w:p w14:paraId="6FB434F8" w14:textId="77777777" w:rsidR="007352F8" w:rsidRDefault="007352F8" w:rsidP="00947F18"/>
    <w:p w14:paraId="777741E9" w14:textId="77777777" w:rsidR="007352F8" w:rsidRDefault="007352F8" w:rsidP="00947F18"/>
    <w:p w14:paraId="6DB9EF8B" w14:textId="77777777" w:rsidR="007352F8" w:rsidRDefault="007352F8" w:rsidP="00947F18"/>
    <w:p w14:paraId="3808FEFB" w14:textId="77777777" w:rsidR="007352F8" w:rsidRDefault="007352F8" w:rsidP="00947F18"/>
    <w:p w14:paraId="1E2C8628" w14:textId="77777777" w:rsidR="007352F8" w:rsidRDefault="007352F8" w:rsidP="00947F18"/>
    <w:p w14:paraId="4368C467" w14:textId="77777777" w:rsidR="007352F8" w:rsidRDefault="007352F8" w:rsidP="00947F18"/>
    <w:p w14:paraId="2B70A466" w14:textId="77777777" w:rsidR="007352F8" w:rsidRDefault="007352F8" w:rsidP="00947F18"/>
    <w:p w14:paraId="3D43D70D" w14:textId="77777777" w:rsidR="007352F8" w:rsidRDefault="007352F8" w:rsidP="00947F18"/>
    <w:p w14:paraId="3AC6711D" w14:textId="77777777" w:rsidR="007352F8" w:rsidRDefault="007352F8" w:rsidP="00947F18"/>
    <w:p w14:paraId="7491D114" w14:textId="77777777" w:rsidR="007352F8" w:rsidRDefault="007352F8" w:rsidP="00947F18"/>
    <w:p w14:paraId="6A5F22B0" w14:textId="77777777" w:rsidR="007352F8" w:rsidRDefault="007352F8" w:rsidP="00947F18"/>
    <w:p w14:paraId="6AF69C17" w14:textId="77777777" w:rsidR="007352F8" w:rsidRDefault="007352F8" w:rsidP="00947F18"/>
    <w:p w14:paraId="4FBA9DCE" w14:textId="77777777" w:rsidR="007352F8" w:rsidRDefault="007352F8" w:rsidP="00947F18"/>
    <w:p w14:paraId="7A36F679" w14:textId="77777777" w:rsidR="007352F8" w:rsidRDefault="007352F8" w:rsidP="00947F18"/>
    <w:p w14:paraId="17298242" w14:textId="5B3C6515" w:rsidR="00EB733E" w:rsidRDefault="00EB733E" w:rsidP="004209D4">
      <w:pPr>
        <w:pStyle w:val="Heading1"/>
      </w:pPr>
      <w:r w:rsidRPr="00EB733E">
        <w:lastRenderedPageBreak/>
        <w:t xml:space="preserve">Catégorie : </w:t>
      </w:r>
      <w:r w:rsidR="004209D4" w:rsidRPr="00845554">
        <w:t>Produit Intérieur Brut (PIB)</w:t>
      </w:r>
    </w:p>
    <w:p w14:paraId="5985B8CE" w14:textId="77777777" w:rsidR="00960021" w:rsidRPr="00960021" w:rsidRDefault="00960021" w:rsidP="00960021"/>
    <w:p w14:paraId="3EE2065B" w14:textId="635F1000" w:rsidR="004209D4" w:rsidRDefault="00FE30E2" w:rsidP="00FE30E2">
      <w:pPr>
        <w:pStyle w:val="ListParagraph"/>
        <w:numPr>
          <w:ilvl w:val="0"/>
          <w:numId w:val="5"/>
        </w:numPr>
      </w:pPr>
      <w:r w:rsidRPr="00FE30E2">
        <w:rPr>
          <w:b/>
          <w:bCs/>
        </w:rPr>
        <w:t>Real Gross Domestic Product</w:t>
      </w:r>
      <w:r>
        <w:rPr>
          <w:b/>
          <w:bCs/>
        </w:rPr>
        <w:t xml:space="preserve"> </w:t>
      </w:r>
      <w:r w:rsidRPr="00FE30E2">
        <w:rPr>
          <w:b/>
          <w:bCs/>
        </w:rPr>
        <w:sym w:font="Wingdings" w:char="F0E0"/>
      </w:r>
      <w:r>
        <w:rPr>
          <w:b/>
          <w:bCs/>
        </w:rPr>
        <w:t xml:space="preserve"> </w:t>
      </w:r>
      <w:r w:rsidRPr="00FE30E2">
        <w:rPr>
          <w:b/>
          <w:bCs/>
          <w:color w:val="FF0000"/>
        </w:rPr>
        <w:t xml:space="preserve">(Trimestrielle) </w:t>
      </w:r>
      <w:r w:rsidRPr="00FE30E2">
        <w:br/>
      </w:r>
      <w:r w:rsidRPr="00FE30E2">
        <w:rPr>
          <w:b/>
          <w:bCs/>
        </w:rPr>
        <w:t>FRED Code</w:t>
      </w:r>
      <w:r w:rsidRPr="00FE30E2">
        <w:t>: GDPC1</w:t>
      </w:r>
      <w:r w:rsidRPr="00FE30E2">
        <w:br/>
      </w:r>
      <w:r w:rsidRPr="00FE30E2">
        <w:rPr>
          <w:b/>
          <w:bCs/>
        </w:rPr>
        <w:t>Description</w:t>
      </w:r>
      <w:r w:rsidRPr="00FE30E2">
        <w:t xml:space="preserve"> : Le Produit Intérieur Brut réel mesure l'activité économique globale, ajustée pour l'inflation, offrant ainsi une évaluation directe et précise de la croissance économique. Il est particulièrement pertinent dans un jeu de données car il permet d'analyser l'évolution économique d'un pays en éliminant les distorsions dues à l'inflation. Ce calcul repose sur la production des biens et services issus du travail et des ressources situées aux États-Unis. Ce qui le distingue des autres indicateurs économiques, c'est qu'il offre une mesure du PIB en termes réels, contrairement à d'autres indices qui peuvent inclure l'impact de l'inflation.</w:t>
      </w:r>
    </w:p>
    <w:p w14:paraId="3F39E7E8" w14:textId="77777777" w:rsidR="007F78AC" w:rsidRDefault="007F78AC" w:rsidP="007F78AC"/>
    <w:p w14:paraId="7F3F421F" w14:textId="74A6AAF8" w:rsidR="007F78AC" w:rsidRDefault="007F78AC" w:rsidP="007F78AC">
      <w:pPr>
        <w:pStyle w:val="ListParagraph"/>
        <w:numPr>
          <w:ilvl w:val="0"/>
          <w:numId w:val="5"/>
        </w:numPr>
      </w:pPr>
      <w:r w:rsidRPr="007F78AC">
        <w:rPr>
          <w:b/>
          <w:bCs/>
        </w:rPr>
        <w:t xml:space="preserve">Gross </w:t>
      </w:r>
      <w:proofErr w:type="spellStart"/>
      <w:r w:rsidRPr="007F78AC">
        <w:rPr>
          <w:b/>
          <w:bCs/>
        </w:rPr>
        <w:t>Private</w:t>
      </w:r>
      <w:proofErr w:type="spellEnd"/>
      <w:r w:rsidRPr="007F78AC">
        <w:rPr>
          <w:b/>
          <w:bCs/>
        </w:rPr>
        <w:t xml:space="preserve"> Domestic Investment</w:t>
      </w:r>
      <w:r w:rsidR="00046830">
        <w:rPr>
          <w:b/>
          <w:bCs/>
        </w:rPr>
        <w:t xml:space="preserve"> </w:t>
      </w:r>
      <w:bookmarkStart w:id="0" w:name="_Hlk182567744"/>
      <w:r w:rsidR="00046830" w:rsidRPr="00046830">
        <w:rPr>
          <w:b/>
          <w:bCs/>
        </w:rPr>
        <w:sym w:font="Wingdings" w:char="F0E0"/>
      </w:r>
      <w:r w:rsidR="00046830">
        <w:rPr>
          <w:b/>
          <w:bCs/>
        </w:rPr>
        <w:t xml:space="preserve"> </w:t>
      </w:r>
      <w:r w:rsidR="00046830" w:rsidRPr="00046830">
        <w:rPr>
          <w:b/>
          <w:bCs/>
          <w:color w:val="FF0000"/>
        </w:rPr>
        <w:t>(Trimestrielle)</w:t>
      </w:r>
      <w:bookmarkEnd w:id="0"/>
      <w:r w:rsidRPr="007F78AC">
        <w:br/>
      </w:r>
      <w:r w:rsidRPr="007F78AC">
        <w:rPr>
          <w:b/>
          <w:bCs/>
        </w:rPr>
        <w:t>FRED Code</w:t>
      </w:r>
      <w:r w:rsidRPr="007F78AC">
        <w:t>: GPDI</w:t>
      </w:r>
      <w:r w:rsidRPr="007F78AC">
        <w:br/>
      </w:r>
      <w:r w:rsidRPr="007F78AC">
        <w:rPr>
          <w:b/>
          <w:bCs/>
        </w:rPr>
        <w:t>Description</w:t>
      </w:r>
      <w:r w:rsidRPr="007F78AC">
        <w:t xml:space="preserve"> : </w:t>
      </w:r>
      <w:r w:rsidRPr="007F78AC">
        <w:rPr>
          <w:b/>
          <w:bCs/>
        </w:rPr>
        <w:t>L'investissement privé domestique brut</w:t>
      </w:r>
      <w:r w:rsidRPr="007F78AC">
        <w:t xml:space="preserve"> reflète l'investissement des entreprises et des ménages dans le pays, incluant les investissements en capital fixe et en stocks. Cette variable est particulièrement pertinente dans un jeu de données économique, car elle sert d'indicateur des perspectives économiques futures, en montrant comment les acteurs privés anticipent la croissance économique. Par rapport à d'autres indicateurs d'investissement, il se distingue en se concentrant exclusivement sur l'investissement privé, sans inclure les investissements publics, ce qui permet de mieux saisir les attentes du secteur privé.</w:t>
      </w:r>
    </w:p>
    <w:p w14:paraId="71F27DCE" w14:textId="77777777" w:rsidR="00756141" w:rsidRDefault="00756141" w:rsidP="00756141"/>
    <w:p w14:paraId="53D5C920" w14:textId="06F92ABF" w:rsidR="00756141" w:rsidRDefault="00046830" w:rsidP="00046830">
      <w:pPr>
        <w:pStyle w:val="ListParagraph"/>
        <w:numPr>
          <w:ilvl w:val="0"/>
          <w:numId w:val="5"/>
        </w:numPr>
      </w:pPr>
      <w:r w:rsidRPr="00046830">
        <w:rPr>
          <w:b/>
          <w:bCs/>
        </w:rPr>
        <w:t xml:space="preserve">Real </w:t>
      </w:r>
      <w:proofErr w:type="spellStart"/>
      <w:r w:rsidRPr="00046830">
        <w:rPr>
          <w:b/>
          <w:bCs/>
        </w:rPr>
        <w:t>Personal</w:t>
      </w:r>
      <w:proofErr w:type="spellEnd"/>
      <w:r w:rsidRPr="00046830">
        <w:rPr>
          <w:b/>
          <w:bCs/>
        </w:rPr>
        <w:t xml:space="preserve"> </w:t>
      </w:r>
      <w:proofErr w:type="spellStart"/>
      <w:r w:rsidRPr="00046830">
        <w:rPr>
          <w:b/>
          <w:bCs/>
        </w:rPr>
        <w:t>Consumption</w:t>
      </w:r>
      <w:proofErr w:type="spellEnd"/>
      <w:r w:rsidRPr="00046830">
        <w:rPr>
          <w:b/>
          <w:bCs/>
        </w:rPr>
        <w:t xml:space="preserve"> </w:t>
      </w:r>
      <w:proofErr w:type="spellStart"/>
      <w:r w:rsidRPr="00046830">
        <w:rPr>
          <w:b/>
          <w:bCs/>
        </w:rPr>
        <w:t>Expenditures</w:t>
      </w:r>
      <w:proofErr w:type="spellEnd"/>
      <w:r w:rsidR="004F6B5F">
        <w:rPr>
          <w:b/>
          <w:bCs/>
        </w:rPr>
        <w:t xml:space="preserve"> </w:t>
      </w:r>
      <w:r w:rsidR="004F6B5F" w:rsidRPr="004F6B5F">
        <w:rPr>
          <w:b/>
          <w:bCs/>
        </w:rPr>
        <w:sym w:font="Wingdings" w:char="F0E0"/>
      </w:r>
      <w:r w:rsidR="004F6B5F" w:rsidRPr="004F6B5F">
        <w:rPr>
          <w:b/>
          <w:bCs/>
        </w:rPr>
        <w:t xml:space="preserve"> </w:t>
      </w:r>
      <w:r w:rsidR="004F6B5F" w:rsidRPr="004F6B5F">
        <w:rPr>
          <w:b/>
          <w:bCs/>
          <w:color w:val="FF0000"/>
        </w:rPr>
        <w:t>(Trimestrielle)</w:t>
      </w:r>
      <w:r w:rsidRPr="00046830">
        <w:br/>
      </w:r>
      <w:r w:rsidRPr="00046830">
        <w:rPr>
          <w:b/>
          <w:bCs/>
        </w:rPr>
        <w:t>FRED Code</w:t>
      </w:r>
      <w:r w:rsidRPr="00046830">
        <w:t>: PCECC96</w:t>
      </w:r>
      <w:r w:rsidRPr="00046830">
        <w:br/>
      </w:r>
      <w:r w:rsidRPr="00046830">
        <w:rPr>
          <w:b/>
          <w:bCs/>
        </w:rPr>
        <w:t>Description</w:t>
      </w:r>
      <w:r w:rsidRPr="00046830">
        <w:t xml:space="preserve"> : Les Dépenses de consommation personnelle réelles suivent la consommation des ménages en termes réels, ajustées pour l'inflation, ce qui les rend particulièrement utiles pour analyser les tendances de consommation indépendamment des fluctuations de prix. Elles sont un moteur majeur de l'activité économique, car la consommation des ménages représente une grande part du produit intérieur brut (PIB). Ce qui distingue cette variable dans sa catégorie, c'est qu'elle mesure spécifiquement la consommation des ménages tout en tenant compte de l'inflation, offrant ainsi un aperçu plus précis et stable des comportements de consommation à travers le temps.</w:t>
      </w:r>
    </w:p>
    <w:p w14:paraId="56A04338" w14:textId="77777777" w:rsidR="00280019" w:rsidRDefault="00280019" w:rsidP="004209D4"/>
    <w:p w14:paraId="43E2FADD" w14:textId="77777777" w:rsidR="00960021" w:rsidRDefault="00960021" w:rsidP="004209D4"/>
    <w:p w14:paraId="316E958B" w14:textId="77777777" w:rsidR="00960021" w:rsidRDefault="00960021" w:rsidP="004209D4"/>
    <w:p w14:paraId="11F00B18" w14:textId="77777777" w:rsidR="00960021" w:rsidRDefault="00960021" w:rsidP="004209D4"/>
    <w:p w14:paraId="3BD3997A" w14:textId="77777777" w:rsidR="00960021" w:rsidRDefault="00960021" w:rsidP="004209D4"/>
    <w:p w14:paraId="48425310" w14:textId="0FD5BC88" w:rsidR="00280019" w:rsidRDefault="00046830" w:rsidP="00046830">
      <w:pPr>
        <w:pStyle w:val="ListParagraph"/>
        <w:numPr>
          <w:ilvl w:val="0"/>
          <w:numId w:val="5"/>
        </w:numPr>
      </w:pPr>
      <w:r w:rsidRPr="00046830">
        <w:rPr>
          <w:b/>
          <w:bCs/>
        </w:rPr>
        <w:lastRenderedPageBreak/>
        <w:t xml:space="preserve">Net Exports of </w:t>
      </w:r>
      <w:proofErr w:type="spellStart"/>
      <w:r w:rsidRPr="00046830">
        <w:rPr>
          <w:b/>
          <w:bCs/>
        </w:rPr>
        <w:t>Goods</w:t>
      </w:r>
      <w:proofErr w:type="spellEnd"/>
      <w:r w:rsidRPr="00046830">
        <w:rPr>
          <w:b/>
          <w:bCs/>
        </w:rPr>
        <w:t xml:space="preserve"> and Services</w:t>
      </w:r>
      <w:r w:rsidR="004F6B5F">
        <w:rPr>
          <w:b/>
          <w:bCs/>
        </w:rPr>
        <w:t xml:space="preserve"> </w:t>
      </w:r>
      <w:r w:rsidR="004F6B5F" w:rsidRPr="004F6B5F">
        <w:rPr>
          <w:b/>
          <w:bCs/>
        </w:rPr>
        <w:sym w:font="Wingdings" w:char="F0E0"/>
      </w:r>
      <w:r w:rsidR="004F6B5F">
        <w:rPr>
          <w:b/>
          <w:bCs/>
        </w:rPr>
        <w:t xml:space="preserve"> </w:t>
      </w:r>
      <w:r w:rsidR="004F6B5F" w:rsidRPr="004F6B5F">
        <w:rPr>
          <w:b/>
          <w:bCs/>
          <w:color w:val="FF0000"/>
        </w:rPr>
        <w:t>(Trimestrielle)</w:t>
      </w:r>
      <w:r w:rsidRPr="00046830">
        <w:br/>
      </w:r>
      <w:r w:rsidRPr="00046830">
        <w:rPr>
          <w:b/>
          <w:bCs/>
        </w:rPr>
        <w:t>FRED Code</w:t>
      </w:r>
      <w:r w:rsidRPr="00046830">
        <w:t>: NETEXP</w:t>
      </w:r>
      <w:r w:rsidRPr="00046830">
        <w:br/>
      </w:r>
      <w:r w:rsidRPr="00046830">
        <w:rPr>
          <w:b/>
          <w:bCs/>
        </w:rPr>
        <w:t>Description</w:t>
      </w:r>
      <w:r w:rsidRPr="00046830">
        <w:t xml:space="preserve"> : Les exportations nettes de biens et services mesurent la différence entre les exportations et les importations, illustrant ainsi l'impact du commerce international sur le produit intérieur brut (PIB). Cette variable est cruciale dans un jeu de données économique, car elle reflète l'influence du commerce extérieur sur l'économie nationale. Ce qui la distingue des autres indicateurs économiques, c'est qu'elle offre une vision directe de l'équilibre commercial d'un pays, un facteur clé pour comprendre les dynamiques économiques internationales.</w:t>
      </w:r>
    </w:p>
    <w:p w14:paraId="5B5950BC" w14:textId="77777777" w:rsidR="00046830" w:rsidRDefault="00046830" w:rsidP="00046830">
      <w:pPr>
        <w:pStyle w:val="ListParagraph"/>
      </w:pPr>
    </w:p>
    <w:p w14:paraId="12F1A526" w14:textId="77777777" w:rsidR="00046830" w:rsidRDefault="00046830" w:rsidP="00046830"/>
    <w:p w14:paraId="37AE8F7D" w14:textId="3C3A7BE8" w:rsidR="00046830" w:rsidRDefault="00046830" w:rsidP="00046830">
      <w:pPr>
        <w:pStyle w:val="ListParagraph"/>
        <w:numPr>
          <w:ilvl w:val="0"/>
          <w:numId w:val="5"/>
        </w:numPr>
      </w:pPr>
      <w:proofErr w:type="spellStart"/>
      <w:r w:rsidRPr="00046830">
        <w:rPr>
          <w:b/>
          <w:bCs/>
        </w:rPr>
        <w:t>Government</w:t>
      </w:r>
      <w:proofErr w:type="spellEnd"/>
      <w:r w:rsidRPr="00046830">
        <w:rPr>
          <w:b/>
          <w:bCs/>
        </w:rPr>
        <w:t xml:space="preserve"> </w:t>
      </w:r>
      <w:proofErr w:type="spellStart"/>
      <w:r w:rsidRPr="00046830">
        <w:rPr>
          <w:b/>
          <w:bCs/>
        </w:rPr>
        <w:t>Consumption</w:t>
      </w:r>
      <w:proofErr w:type="spellEnd"/>
      <w:r w:rsidRPr="00046830">
        <w:rPr>
          <w:b/>
          <w:bCs/>
        </w:rPr>
        <w:t xml:space="preserve"> </w:t>
      </w:r>
      <w:proofErr w:type="spellStart"/>
      <w:r w:rsidRPr="00046830">
        <w:rPr>
          <w:b/>
          <w:bCs/>
        </w:rPr>
        <w:t>Expenditures</w:t>
      </w:r>
      <w:proofErr w:type="spellEnd"/>
      <w:r w:rsidRPr="00046830">
        <w:rPr>
          <w:b/>
          <w:bCs/>
        </w:rPr>
        <w:t xml:space="preserve"> and Gross Investment</w:t>
      </w:r>
      <w:r w:rsidR="004F6B5F">
        <w:rPr>
          <w:b/>
          <w:bCs/>
        </w:rPr>
        <w:t xml:space="preserve"> </w:t>
      </w:r>
      <w:r w:rsidR="004F6B5F" w:rsidRPr="004F6B5F">
        <w:rPr>
          <w:b/>
          <w:bCs/>
        </w:rPr>
        <w:sym w:font="Wingdings" w:char="F0E0"/>
      </w:r>
      <w:r w:rsidR="004F6B5F">
        <w:rPr>
          <w:b/>
          <w:bCs/>
        </w:rPr>
        <w:t xml:space="preserve"> </w:t>
      </w:r>
      <w:r w:rsidR="004F6B5F" w:rsidRPr="004F6B5F">
        <w:rPr>
          <w:b/>
          <w:bCs/>
          <w:color w:val="FF0000"/>
        </w:rPr>
        <w:t>(Trimestrielle)</w:t>
      </w:r>
      <w:r w:rsidRPr="00046830">
        <w:br/>
      </w:r>
      <w:r w:rsidRPr="00046830">
        <w:rPr>
          <w:b/>
          <w:bCs/>
        </w:rPr>
        <w:t>FRED Code</w:t>
      </w:r>
      <w:r w:rsidRPr="00046830">
        <w:t>: GCEC1</w:t>
      </w:r>
      <w:r w:rsidRPr="00046830">
        <w:br/>
      </w:r>
      <w:r w:rsidRPr="00046830">
        <w:rPr>
          <w:b/>
          <w:bCs/>
        </w:rPr>
        <w:t>Description</w:t>
      </w:r>
      <w:r w:rsidRPr="00046830">
        <w:t xml:space="preserve"> : Les dépenses de consommation publique et les investissements bruts fournissent des données sur l'impact des dépenses publiques sur l'économie. Ces dépenses reflètent l'influence directe des politiques gouvernementales sur la croissance économique, car elles englobent l'achat de biens et services ainsi que les investissements dans les infrastructures publiques. Cette variable est essentielle pour analyser le rôle de l'État dans l'économie, notamment en période de récession ou de stimulation économique.</w:t>
      </w:r>
    </w:p>
    <w:p w14:paraId="6CA5640F" w14:textId="77777777" w:rsidR="00046830" w:rsidRDefault="00046830" w:rsidP="00046830"/>
    <w:p w14:paraId="419C62A1" w14:textId="18CBEB1A" w:rsidR="001F5781" w:rsidRPr="001F5781" w:rsidRDefault="001F5781" w:rsidP="001F5781">
      <w:pPr>
        <w:pStyle w:val="ListParagraph"/>
        <w:numPr>
          <w:ilvl w:val="0"/>
          <w:numId w:val="5"/>
        </w:numPr>
      </w:pPr>
      <w:r w:rsidRPr="001F5781">
        <w:rPr>
          <w:b/>
          <w:bCs/>
        </w:rPr>
        <w:t>Real Gross Domestic Product per capita</w:t>
      </w:r>
      <w:r w:rsidR="004F6B5F">
        <w:rPr>
          <w:b/>
          <w:bCs/>
        </w:rPr>
        <w:t xml:space="preserve"> </w:t>
      </w:r>
      <w:r w:rsidR="004F6B5F" w:rsidRPr="004F6B5F">
        <w:rPr>
          <w:b/>
          <w:bCs/>
        </w:rPr>
        <w:sym w:font="Wingdings" w:char="F0E0"/>
      </w:r>
      <w:r w:rsidR="004F6B5F">
        <w:rPr>
          <w:b/>
          <w:bCs/>
        </w:rPr>
        <w:t xml:space="preserve"> </w:t>
      </w:r>
      <w:r w:rsidR="004F6B5F" w:rsidRPr="004F6B5F">
        <w:rPr>
          <w:b/>
          <w:bCs/>
          <w:color w:val="FF0000"/>
        </w:rPr>
        <w:t>(Trimestrielle)</w:t>
      </w:r>
      <w:r w:rsidRPr="001F5781">
        <w:br/>
      </w:r>
      <w:r w:rsidRPr="001F5781">
        <w:rPr>
          <w:b/>
          <w:bCs/>
        </w:rPr>
        <w:t>FRED Code</w:t>
      </w:r>
      <w:r w:rsidRPr="001F5781">
        <w:t>: A939RX0Q048SBEA</w:t>
      </w:r>
      <w:r w:rsidRPr="001F5781">
        <w:br/>
      </w:r>
      <w:r w:rsidRPr="001F5781">
        <w:rPr>
          <w:b/>
          <w:bCs/>
        </w:rPr>
        <w:t>Description</w:t>
      </w:r>
      <w:r w:rsidRPr="001F5781">
        <w:t xml:space="preserve"> : Le produit intérieur brut réel par habitant est un indicateur du niveau de vie moyen, ajusté pour la population. Cette variable est essentielle pour comprendre la croissance économique en tenant compte de l'évolution démographique, offrant ainsi une mesure plus précise du bien-être économique des individus dans une économie.</w:t>
      </w:r>
    </w:p>
    <w:p w14:paraId="371286EB" w14:textId="77777777" w:rsidR="00046830" w:rsidRDefault="00046830" w:rsidP="00046830"/>
    <w:p w14:paraId="4FC55931" w14:textId="149E605C" w:rsidR="001E12D5" w:rsidRDefault="001E12D5" w:rsidP="001E12D5">
      <w:pPr>
        <w:pStyle w:val="ListParagraph"/>
        <w:numPr>
          <w:ilvl w:val="0"/>
          <w:numId w:val="5"/>
        </w:numPr>
      </w:pPr>
      <w:r w:rsidRPr="001E12D5">
        <w:rPr>
          <w:b/>
          <w:bCs/>
        </w:rPr>
        <w:t xml:space="preserve">Real Final Sales to </w:t>
      </w:r>
      <w:proofErr w:type="spellStart"/>
      <w:r w:rsidRPr="001E12D5">
        <w:rPr>
          <w:b/>
          <w:bCs/>
        </w:rPr>
        <w:t>Private</w:t>
      </w:r>
      <w:proofErr w:type="spellEnd"/>
      <w:r w:rsidRPr="001E12D5">
        <w:rPr>
          <w:b/>
          <w:bCs/>
        </w:rPr>
        <w:t xml:space="preserve"> Domestic </w:t>
      </w:r>
      <w:proofErr w:type="spellStart"/>
      <w:r w:rsidRPr="001E12D5">
        <w:rPr>
          <w:b/>
          <w:bCs/>
        </w:rPr>
        <w:t>Purchasers</w:t>
      </w:r>
      <w:proofErr w:type="spellEnd"/>
      <w:r w:rsidR="004F6B5F">
        <w:rPr>
          <w:b/>
          <w:bCs/>
        </w:rPr>
        <w:t xml:space="preserve"> </w:t>
      </w:r>
      <w:r w:rsidR="004F6B5F" w:rsidRPr="004F6B5F">
        <w:rPr>
          <w:b/>
          <w:bCs/>
        </w:rPr>
        <w:sym w:font="Wingdings" w:char="F0E0"/>
      </w:r>
      <w:r w:rsidR="004F6B5F">
        <w:rPr>
          <w:b/>
          <w:bCs/>
        </w:rPr>
        <w:t xml:space="preserve"> </w:t>
      </w:r>
      <w:r w:rsidR="004F6B5F" w:rsidRPr="004F6B5F">
        <w:rPr>
          <w:b/>
          <w:bCs/>
          <w:color w:val="FF0000"/>
        </w:rPr>
        <w:t>(Trimestrielle)</w:t>
      </w:r>
      <w:r w:rsidRPr="001E12D5">
        <w:br/>
      </w:r>
      <w:r w:rsidRPr="001E12D5">
        <w:rPr>
          <w:b/>
          <w:bCs/>
        </w:rPr>
        <w:t>FRED Code</w:t>
      </w:r>
      <w:r w:rsidRPr="001E12D5">
        <w:t>: LB0000031Q020SBEA</w:t>
      </w:r>
      <w:r w:rsidRPr="001E12D5">
        <w:br/>
      </w:r>
      <w:r w:rsidRPr="001E12D5">
        <w:rPr>
          <w:b/>
          <w:bCs/>
        </w:rPr>
        <w:t>Description</w:t>
      </w:r>
      <w:r w:rsidRPr="001E12D5">
        <w:t xml:space="preserve"> : Le suivi des ventes finales aux acheteurs domestiques privés mesure la demande finale dans l'économie, excluant les stocks. Cet indicateur est crucial pour évaluer la santé économique du secteur privé, car il montre la véritable demande de biens et services, sans l'impact des variations de stocks.</w:t>
      </w:r>
    </w:p>
    <w:p w14:paraId="6A795668" w14:textId="77777777" w:rsidR="00D351BE" w:rsidRPr="001E12D5" w:rsidRDefault="00D351BE" w:rsidP="00D351BE"/>
    <w:p w14:paraId="7F17D3FD" w14:textId="0B639876" w:rsidR="00046830" w:rsidRDefault="00D351BE" w:rsidP="00D351BE">
      <w:pPr>
        <w:pStyle w:val="ListParagraph"/>
        <w:numPr>
          <w:ilvl w:val="0"/>
          <w:numId w:val="5"/>
        </w:numPr>
      </w:pPr>
      <w:r w:rsidRPr="00D351BE">
        <w:rPr>
          <w:b/>
          <w:bCs/>
        </w:rPr>
        <w:t xml:space="preserve">Change in </w:t>
      </w:r>
      <w:proofErr w:type="spellStart"/>
      <w:r w:rsidRPr="00D351BE">
        <w:rPr>
          <w:b/>
          <w:bCs/>
        </w:rPr>
        <w:t>Private</w:t>
      </w:r>
      <w:proofErr w:type="spellEnd"/>
      <w:r w:rsidRPr="00D351BE">
        <w:rPr>
          <w:b/>
          <w:bCs/>
        </w:rPr>
        <w:t xml:space="preserve"> Inventories</w:t>
      </w:r>
      <w:r w:rsidR="004F6B5F">
        <w:rPr>
          <w:b/>
          <w:bCs/>
        </w:rPr>
        <w:t xml:space="preserve"> </w:t>
      </w:r>
      <w:r w:rsidR="004F6B5F" w:rsidRPr="004F6B5F">
        <w:rPr>
          <w:b/>
          <w:bCs/>
        </w:rPr>
        <w:sym w:font="Wingdings" w:char="F0E0"/>
      </w:r>
      <w:r w:rsidR="004F6B5F">
        <w:rPr>
          <w:b/>
          <w:bCs/>
        </w:rPr>
        <w:t xml:space="preserve"> </w:t>
      </w:r>
      <w:r w:rsidR="004F6B5F" w:rsidRPr="004F6B5F">
        <w:rPr>
          <w:b/>
          <w:bCs/>
          <w:color w:val="FF0000"/>
        </w:rPr>
        <w:t>(Trimestrielle)</w:t>
      </w:r>
      <w:r w:rsidRPr="004F6B5F">
        <w:rPr>
          <w:color w:val="FF0000"/>
        </w:rPr>
        <w:br/>
      </w:r>
      <w:r w:rsidRPr="00D351BE">
        <w:rPr>
          <w:b/>
          <w:bCs/>
        </w:rPr>
        <w:t>FRED Code</w:t>
      </w:r>
      <w:r w:rsidRPr="00D351BE">
        <w:t>: CBI</w:t>
      </w:r>
      <w:r w:rsidRPr="00D351BE">
        <w:br/>
      </w:r>
      <w:r w:rsidRPr="00D351BE">
        <w:rPr>
          <w:b/>
          <w:bCs/>
        </w:rPr>
        <w:t>Description</w:t>
      </w:r>
      <w:r w:rsidRPr="00D351BE">
        <w:t xml:space="preserve"> : Le changement dans les stocks privés est un indicateur clé de la production future, car les variations d'inventaire peuvent influencer la production à venir. Une augmentation des stocks peut signaler que la production future devra augmenter pour répondre à la demande, tandis qu'une diminution peut indiquer une contraction de l'activité économique.</w:t>
      </w:r>
    </w:p>
    <w:p w14:paraId="5896F98E" w14:textId="77777777" w:rsidR="00046830" w:rsidRDefault="00046830" w:rsidP="00046830"/>
    <w:p w14:paraId="53CD3980" w14:textId="7F0BF988" w:rsidR="00046830" w:rsidRDefault="00A949C7" w:rsidP="00A949C7">
      <w:pPr>
        <w:pStyle w:val="ListParagraph"/>
        <w:numPr>
          <w:ilvl w:val="0"/>
          <w:numId w:val="5"/>
        </w:numPr>
      </w:pPr>
      <w:r w:rsidRPr="00A949C7">
        <w:rPr>
          <w:b/>
          <w:bCs/>
        </w:rPr>
        <w:t>Gross National Product</w:t>
      </w:r>
      <w:r w:rsidR="004F6B5F">
        <w:rPr>
          <w:b/>
          <w:bCs/>
        </w:rPr>
        <w:t xml:space="preserve"> </w:t>
      </w:r>
      <w:r w:rsidR="004F6B5F" w:rsidRPr="004F6B5F">
        <w:rPr>
          <w:b/>
          <w:bCs/>
        </w:rPr>
        <w:sym w:font="Wingdings" w:char="F0E0"/>
      </w:r>
      <w:r w:rsidR="004F6B5F">
        <w:rPr>
          <w:b/>
          <w:bCs/>
        </w:rPr>
        <w:t xml:space="preserve"> </w:t>
      </w:r>
      <w:r w:rsidR="004F6B5F" w:rsidRPr="004F6B5F">
        <w:rPr>
          <w:b/>
          <w:bCs/>
          <w:color w:val="FF0000"/>
        </w:rPr>
        <w:t>(Trimestrielle)</w:t>
      </w:r>
      <w:r w:rsidRPr="00A949C7">
        <w:br/>
      </w:r>
      <w:r w:rsidRPr="00A949C7">
        <w:rPr>
          <w:b/>
          <w:bCs/>
        </w:rPr>
        <w:t>FRED Code</w:t>
      </w:r>
      <w:r w:rsidRPr="00A949C7">
        <w:t>: GNP</w:t>
      </w:r>
      <w:r w:rsidRPr="00A949C7">
        <w:br/>
      </w:r>
      <w:r w:rsidRPr="00A949C7">
        <w:rPr>
          <w:b/>
          <w:bCs/>
        </w:rPr>
        <w:t>Description</w:t>
      </w:r>
      <w:r w:rsidRPr="00A949C7">
        <w:t xml:space="preserve"> : Le produit national brut mesure l'ensemble des revenus générés par les résidents d'un pays, y compris les revenus provenant de l'étranger. Cet indicateur est essentiel pour évaluer la performance économique d'un pays en tenant compte des revenus nets provenant de l'extérieur, contrairement au PIB qui se concentre uniquement sur la production interne.</w:t>
      </w:r>
    </w:p>
    <w:p w14:paraId="0E5CD62F" w14:textId="2B780A49" w:rsidR="00046830" w:rsidRDefault="00A949C7" w:rsidP="00A949C7">
      <w:pPr>
        <w:tabs>
          <w:tab w:val="left" w:pos="2809"/>
        </w:tabs>
      </w:pPr>
      <w:r>
        <w:tab/>
      </w:r>
    </w:p>
    <w:p w14:paraId="5BFF2367" w14:textId="28909FF9" w:rsidR="00046830" w:rsidRDefault="00A949C7" w:rsidP="00A949C7">
      <w:pPr>
        <w:pStyle w:val="ListParagraph"/>
        <w:numPr>
          <w:ilvl w:val="0"/>
          <w:numId w:val="5"/>
        </w:numPr>
      </w:pPr>
      <w:r w:rsidRPr="00A949C7">
        <w:rPr>
          <w:b/>
          <w:bCs/>
        </w:rPr>
        <w:t xml:space="preserve">Real Gross Domestic </w:t>
      </w:r>
      <w:proofErr w:type="spellStart"/>
      <w:r w:rsidRPr="00A949C7">
        <w:rPr>
          <w:b/>
          <w:bCs/>
        </w:rPr>
        <w:t>Income</w:t>
      </w:r>
      <w:proofErr w:type="spellEnd"/>
      <w:r w:rsidR="004F6B5F">
        <w:rPr>
          <w:b/>
          <w:bCs/>
        </w:rPr>
        <w:t xml:space="preserve"> </w:t>
      </w:r>
      <w:r w:rsidR="004F6B5F" w:rsidRPr="004F6B5F">
        <w:rPr>
          <w:b/>
          <w:bCs/>
        </w:rPr>
        <w:sym w:font="Wingdings" w:char="F0E0"/>
      </w:r>
      <w:r w:rsidR="004F6B5F">
        <w:rPr>
          <w:b/>
          <w:bCs/>
        </w:rPr>
        <w:t xml:space="preserve"> </w:t>
      </w:r>
      <w:r w:rsidR="004F6B5F" w:rsidRPr="004F6B5F">
        <w:rPr>
          <w:b/>
          <w:bCs/>
          <w:color w:val="FF0000"/>
        </w:rPr>
        <w:t>(Trimestrielle)</w:t>
      </w:r>
      <w:r w:rsidRPr="00A949C7">
        <w:br/>
      </w:r>
      <w:r w:rsidRPr="00A949C7">
        <w:rPr>
          <w:b/>
          <w:bCs/>
        </w:rPr>
        <w:t>FRED Code</w:t>
      </w:r>
      <w:r w:rsidRPr="00A949C7">
        <w:t>: GDI</w:t>
      </w:r>
      <w:r w:rsidRPr="00A949C7">
        <w:br/>
      </w:r>
      <w:r w:rsidRPr="00A949C7">
        <w:rPr>
          <w:b/>
          <w:bCs/>
        </w:rPr>
        <w:t>Description</w:t>
      </w:r>
      <w:r w:rsidRPr="00A949C7">
        <w:t xml:space="preserve"> : Le revenu national brut réel suit le revenu total généré dans l'économie, offrant une alternative au PIB pour évaluer l'activité économique. </w:t>
      </w:r>
      <w:proofErr w:type="gramStart"/>
      <w:r w:rsidRPr="00A949C7">
        <w:t>Ce mesure</w:t>
      </w:r>
      <w:proofErr w:type="gramEnd"/>
      <w:r w:rsidRPr="00A949C7">
        <w:t xml:space="preserve"> permet d'analyser l'économie sous l'angle des revenus plutôt que des dépenses, fournissant ainsi une perspective complémentaire pour comprendre la croissance économique.</w:t>
      </w:r>
    </w:p>
    <w:p w14:paraId="13977D3D" w14:textId="77777777" w:rsidR="004F6B5F" w:rsidRDefault="004F6B5F" w:rsidP="004F6B5F">
      <w:pPr>
        <w:pStyle w:val="ListParagraph"/>
      </w:pPr>
    </w:p>
    <w:p w14:paraId="260B63E4" w14:textId="77777777" w:rsidR="007352F8" w:rsidRDefault="007352F8" w:rsidP="004F6B5F">
      <w:pPr>
        <w:pStyle w:val="ListParagraph"/>
      </w:pPr>
    </w:p>
    <w:p w14:paraId="4FA1F742" w14:textId="2F1B4000" w:rsidR="004F6B5F" w:rsidRDefault="004F6B5F" w:rsidP="004F6B5F">
      <w:pPr>
        <w:pStyle w:val="ListParagraph"/>
        <w:numPr>
          <w:ilvl w:val="0"/>
          <w:numId w:val="5"/>
        </w:numPr>
      </w:pPr>
      <w:proofErr w:type="spellStart"/>
      <w:r w:rsidRPr="004F6B5F">
        <w:rPr>
          <w:b/>
          <w:bCs/>
        </w:rPr>
        <w:t>Disposable</w:t>
      </w:r>
      <w:proofErr w:type="spellEnd"/>
      <w:r w:rsidRPr="004F6B5F">
        <w:rPr>
          <w:b/>
          <w:bCs/>
        </w:rPr>
        <w:t xml:space="preserve"> </w:t>
      </w:r>
      <w:proofErr w:type="spellStart"/>
      <w:r w:rsidRPr="004F6B5F">
        <w:rPr>
          <w:b/>
          <w:bCs/>
        </w:rPr>
        <w:t>Personal</w:t>
      </w:r>
      <w:proofErr w:type="spellEnd"/>
      <w:r w:rsidRPr="004F6B5F">
        <w:rPr>
          <w:b/>
          <w:bCs/>
        </w:rPr>
        <w:t xml:space="preserve"> </w:t>
      </w:r>
      <w:proofErr w:type="spellStart"/>
      <w:r w:rsidRPr="004F6B5F">
        <w:rPr>
          <w:b/>
          <w:bCs/>
        </w:rPr>
        <w:t>Income</w:t>
      </w:r>
      <w:proofErr w:type="spellEnd"/>
      <w:r w:rsidRPr="004F6B5F">
        <w:br/>
      </w:r>
      <w:r w:rsidRPr="004F6B5F">
        <w:rPr>
          <w:b/>
          <w:bCs/>
        </w:rPr>
        <w:t>FRED Code</w:t>
      </w:r>
      <w:r w:rsidRPr="004F6B5F">
        <w:t>: DSPIC96</w:t>
      </w:r>
      <w:r w:rsidRPr="004F6B5F">
        <w:br/>
      </w:r>
      <w:r w:rsidRPr="004F6B5F">
        <w:rPr>
          <w:b/>
          <w:bCs/>
        </w:rPr>
        <w:t>Description</w:t>
      </w:r>
      <w:r w:rsidRPr="004F6B5F">
        <w:t xml:space="preserve"> : Le revenu personnel disponible mesure le revenu restant après le paiement des impôts, indiquant ce que les ménages peuvent utiliser pour la consommation et l'épargne. Cet indicateur est essentiel pour prévoir les tendances de consommation et d'épargne, deux composantes majeures de l'économie.</w:t>
      </w:r>
    </w:p>
    <w:p w14:paraId="5E9B9BC8" w14:textId="77777777" w:rsidR="00046830" w:rsidRDefault="00046830" w:rsidP="00046830"/>
    <w:p w14:paraId="265B7572" w14:textId="69381237" w:rsidR="00046830" w:rsidRDefault="004F6B5F" w:rsidP="004F6B5F">
      <w:pPr>
        <w:pStyle w:val="ListParagraph"/>
        <w:numPr>
          <w:ilvl w:val="0"/>
          <w:numId w:val="5"/>
        </w:numPr>
      </w:pPr>
      <w:r w:rsidRPr="004F6B5F">
        <w:rPr>
          <w:b/>
          <w:bCs/>
        </w:rPr>
        <w:t xml:space="preserve">Real </w:t>
      </w:r>
      <w:proofErr w:type="spellStart"/>
      <w:r w:rsidRPr="004F6B5F">
        <w:rPr>
          <w:b/>
          <w:bCs/>
        </w:rPr>
        <w:t>Personal</w:t>
      </w:r>
      <w:proofErr w:type="spellEnd"/>
      <w:r w:rsidRPr="004F6B5F">
        <w:rPr>
          <w:b/>
          <w:bCs/>
        </w:rPr>
        <w:t xml:space="preserve"> </w:t>
      </w:r>
      <w:proofErr w:type="spellStart"/>
      <w:r w:rsidRPr="004F6B5F">
        <w:rPr>
          <w:b/>
          <w:bCs/>
        </w:rPr>
        <w:t>Income</w:t>
      </w:r>
      <w:proofErr w:type="spellEnd"/>
      <w:r w:rsidRPr="004F6B5F">
        <w:rPr>
          <w:b/>
          <w:bCs/>
        </w:rPr>
        <w:t xml:space="preserve"> </w:t>
      </w:r>
      <w:proofErr w:type="spellStart"/>
      <w:r w:rsidRPr="004F6B5F">
        <w:rPr>
          <w:b/>
          <w:bCs/>
        </w:rPr>
        <w:t>Excluding</w:t>
      </w:r>
      <w:proofErr w:type="spellEnd"/>
      <w:r w:rsidRPr="004F6B5F">
        <w:rPr>
          <w:b/>
          <w:bCs/>
        </w:rPr>
        <w:t xml:space="preserve"> </w:t>
      </w:r>
      <w:proofErr w:type="spellStart"/>
      <w:r w:rsidRPr="004F6B5F">
        <w:rPr>
          <w:b/>
          <w:bCs/>
        </w:rPr>
        <w:t>Current</w:t>
      </w:r>
      <w:proofErr w:type="spellEnd"/>
      <w:r w:rsidRPr="004F6B5F">
        <w:rPr>
          <w:b/>
          <w:bCs/>
        </w:rPr>
        <w:t xml:space="preserve"> Transfer </w:t>
      </w:r>
      <w:proofErr w:type="spellStart"/>
      <w:r w:rsidRPr="004F6B5F">
        <w:rPr>
          <w:b/>
          <w:bCs/>
        </w:rPr>
        <w:t>Receipts</w:t>
      </w:r>
      <w:proofErr w:type="spellEnd"/>
      <w:r w:rsidRPr="004F6B5F">
        <w:br/>
      </w:r>
      <w:r w:rsidRPr="004F6B5F">
        <w:rPr>
          <w:b/>
          <w:bCs/>
        </w:rPr>
        <w:t>FRED Code</w:t>
      </w:r>
      <w:r w:rsidRPr="004F6B5F">
        <w:t>: W875RX1</w:t>
      </w:r>
      <w:r w:rsidRPr="004F6B5F">
        <w:br/>
      </w:r>
      <w:r w:rsidRPr="004F6B5F">
        <w:rPr>
          <w:b/>
          <w:bCs/>
        </w:rPr>
        <w:t>Description</w:t>
      </w:r>
      <w:r w:rsidRPr="004F6B5F">
        <w:t xml:space="preserve"> : Ce revenu personnel réel, ajusté des transferts courants, mesure uniquement le revenu généré par les activités économiques. En excluant les transferts gouvernementaux et autres aides, cet indicateur fournit une image plus précise du revenu issu de la production économique, sans l'impact des aides ou subventions externes.</w:t>
      </w:r>
    </w:p>
    <w:p w14:paraId="76959ACC" w14:textId="77777777" w:rsidR="00C34C7D" w:rsidRDefault="00C34C7D" w:rsidP="00046830"/>
    <w:p w14:paraId="52B463CA" w14:textId="09EE0D90" w:rsidR="00D42CED" w:rsidRDefault="00C34C7D" w:rsidP="00D42CED">
      <w:pPr>
        <w:pStyle w:val="ListParagraph"/>
        <w:numPr>
          <w:ilvl w:val="0"/>
          <w:numId w:val="5"/>
        </w:numPr>
      </w:pPr>
      <w:proofErr w:type="spellStart"/>
      <w:r w:rsidRPr="00C34C7D">
        <w:rPr>
          <w:b/>
          <w:bCs/>
        </w:rPr>
        <w:t>Personal</w:t>
      </w:r>
      <w:proofErr w:type="spellEnd"/>
      <w:r w:rsidRPr="00C34C7D">
        <w:rPr>
          <w:b/>
          <w:bCs/>
        </w:rPr>
        <w:t xml:space="preserve"> </w:t>
      </w:r>
      <w:proofErr w:type="spellStart"/>
      <w:r w:rsidRPr="00C34C7D">
        <w:rPr>
          <w:b/>
          <w:bCs/>
        </w:rPr>
        <w:t>Savings</w:t>
      </w:r>
      <w:proofErr w:type="spellEnd"/>
      <w:r w:rsidRPr="00C34C7D">
        <w:rPr>
          <w:b/>
          <w:bCs/>
        </w:rPr>
        <w:t xml:space="preserve"> Rate</w:t>
      </w:r>
      <w:r w:rsidRPr="00C34C7D">
        <w:br/>
      </w:r>
      <w:r w:rsidRPr="00C34C7D">
        <w:rPr>
          <w:b/>
          <w:bCs/>
        </w:rPr>
        <w:t>FRED Code</w:t>
      </w:r>
      <w:r w:rsidRPr="00C34C7D">
        <w:t>: PSAVERT</w:t>
      </w:r>
      <w:r w:rsidRPr="00C34C7D">
        <w:br/>
      </w:r>
      <w:r w:rsidRPr="00C34C7D">
        <w:rPr>
          <w:b/>
          <w:bCs/>
        </w:rPr>
        <w:t>Description</w:t>
      </w:r>
      <w:r w:rsidRPr="00C34C7D">
        <w:t xml:space="preserve"> : Le taux d'épargne des ménages mesure la proportion du revenu disponible que les ménages épargnent, offrant ainsi une perspective sur la stabilité économique future. Un taux d'épargne élevé peut indiquer une prudence économique, tandis qu'un taux bas peut suggérer une dépendance accrue à la consommation immédiate</w:t>
      </w:r>
      <w:r w:rsidR="00D42CED">
        <w:t>.</w:t>
      </w:r>
    </w:p>
    <w:p w14:paraId="4DEEBCEE" w14:textId="77777777" w:rsidR="00D42CED" w:rsidRDefault="00D42CED" w:rsidP="00D42CED"/>
    <w:p w14:paraId="635AC4B0" w14:textId="77777777" w:rsidR="007352F8" w:rsidRDefault="007352F8" w:rsidP="00280019"/>
    <w:p w14:paraId="0EBDDB9A" w14:textId="77777777" w:rsidR="007352F8" w:rsidRPr="00D42CED" w:rsidRDefault="007352F8" w:rsidP="00280019"/>
    <w:p w14:paraId="452C41A4" w14:textId="33795D70" w:rsidR="00D92D79" w:rsidRDefault="00280019" w:rsidP="00D42CED">
      <w:pPr>
        <w:pStyle w:val="Heading1"/>
      </w:pPr>
      <w:r w:rsidRPr="00D42CED">
        <w:lastRenderedPageBreak/>
        <w:t>Catégorie : Déficit Budgétaire du Gouvernement</w:t>
      </w:r>
    </w:p>
    <w:p w14:paraId="325E0433" w14:textId="204866B2" w:rsidR="00302659" w:rsidRPr="00302659" w:rsidRDefault="00302659" w:rsidP="00302659">
      <w:pPr>
        <w:pStyle w:val="ListParagraph"/>
        <w:numPr>
          <w:ilvl w:val="0"/>
          <w:numId w:val="6"/>
        </w:numPr>
      </w:pPr>
      <w:proofErr w:type="spellStart"/>
      <w:r w:rsidRPr="00302659">
        <w:rPr>
          <w:b/>
          <w:bCs/>
        </w:rPr>
        <w:t>Federal</w:t>
      </w:r>
      <w:proofErr w:type="spellEnd"/>
      <w:r w:rsidRPr="00302659">
        <w:rPr>
          <w:b/>
          <w:bCs/>
        </w:rPr>
        <w:t xml:space="preserve"> </w:t>
      </w:r>
      <w:proofErr w:type="spellStart"/>
      <w:r w:rsidRPr="00302659">
        <w:rPr>
          <w:b/>
          <w:bCs/>
        </w:rPr>
        <w:t>Debt</w:t>
      </w:r>
      <w:proofErr w:type="spellEnd"/>
      <w:r w:rsidRPr="00302659">
        <w:rPr>
          <w:b/>
          <w:bCs/>
        </w:rPr>
        <w:t xml:space="preserve">: Total Public </w:t>
      </w:r>
      <w:proofErr w:type="spellStart"/>
      <w:r w:rsidRPr="00302659">
        <w:rPr>
          <w:b/>
          <w:bCs/>
        </w:rPr>
        <w:t>Debt</w:t>
      </w:r>
      <w:proofErr w:type="spellEnd"/>
      <w:r w:rsidRPr="00302659">
        <w:rPr>
          <w:b/>
          <w:bCs/>
        </w:rPr>
        <w:t xml:space="preserve"> </w:t>
      </w:r>
      <w:proofErr w:type="gramStart"/>
      <w:r w:rsidRPr="00302659">
        <w:rPr>
          <w:b/>
          <w:bCs/>
        </w:rPr>
        <w:t>as Percent</w:t>
      </w:r>
      <w:proofErr w:type="gramEnd"/>
      <w:r w:rsidRPr="00302659">
        <w:rPr>
          <w:b/>
          <w:bCs/>
        </w:rPr>
        <w:t xml:space="preserve"> of Gross Domestic Product</w:t>
      </w:r>
      <w:r>
        <w:rPr>
          <w:b/>
          <w:bCs/>
        </w:rPr>
        <w:t xml:space="preserve"> </w:t>
      </w:r>
      <w:r w:rsidRPr="00302659">
        <w:rPr>
          <w:b/>
          <w:bCs/>
        </w:rPr>
        <w:sym w:font="Wingdings" w:char="F0E0"/>
      </w:r>
      <w:r>
        <w:rPr>
          <w:b/>
          <w:bCs/>
        </w:rPr>
        <w:t xml:space="preserve"> </w:t>
      </w:r>
      <w:bookmarkStart w:id="1" w:name="_Hlk182678089"/>
      <w:r w:rsidRPr="00302659">
        <w:rPr>
          <w:b/>
          <w:bCs/>
          <w:color w:val="FF0000"/>
        </w:rPr>
        <w:t>(Trimestrielle)</w:t>
      </w:r>
      <w:bookmarkEnd w:id="1"/>
      <w:r w:rsidRPr="00302659">
        <w:br/>
      </w:r>
      <w:r w:rsidRPr="00302659">
        <w:rPr>
          <w:b/>
          <w:bCs/>
        </w:rPr>
        <w:t>FRED Code</w:t>
      </w:r>
      <w:r w:rsidRPr="00302659">
        <w:t>: GFDEGDQ188S</w:t>
      </w:r>
      <w:r w:rsidRPr="00302659">
        <w:br/>
      </w:r>
      <w:r w:rsidRPr="00302659">
        <w:rPr>
          <w:b/>
          <w:bCs/>
        </w:rPr>
        <w:t>Description</w:t>
      </w:r>
      <w:r w:rsidRPr="00302659">
        <w:t xml:space="preserve"> : Le ratio de la dette publique totale par rapport au produit intérieur brut mesure la proportion de la dette nationale par rapport à la taille de l'économie. Cet indicateur est essentiel pour évaluer la soutenabilité de la dette d'un pays et sa capacité à rembourser ses obligations sans compromettre la croissance économique.</w:t>
      </w:r>
    </w:p>
    <w:p w14:paraId="02EFA1E8" w14:textId="77777777" w:rsidR="00D92D79" w:rsidRDefault="00D92D79" w:rsidP="00947F18"/>
    <w:p w14:paraId="38589AA5" w14:textId="6A5140C9" w:rsidR="00302659" w:rsidRDefault="00771A51" w:rsidP="00771A51">
      <w:pPr>
        <w:pStyle w:val="ListParagraph"/>
        <w:numPr>
          <w:ilvl w:val="0"/>
          <w:numId w:val="6"/>
        </w:numPr>
      </w:pPr>
      <w:proofErr w:type="spellStart"/>
      <w:r w:rsidRPr="00771A51">
        <w:rPr>
          <w:b/>
          <w:bCs/>
        </w:rPr>
        <w:t>Federal</w:t>
      </w:r>
      <w:proofErr w:type="spellEnd"/>
      <w:r w:rsidRPr="00771A51">
        <w:rPr>
          <w:b/>
          <w:bCs/>
        </w:rPr>
        <w:t xml:space="preserve"> </w:t>
      </w:r>
      <w:proofErr w:type="spellStart"/>
      <w:r w:rsidRPr="00771A51">
        <w:rPr>
          <w:b/>
          <w:bCs/>
        </w:rPr>
        <w:t>Debt</w:t>
      </w:r>
      <w:proofErr w:type="spellEnd"/>
      <w:r w:rsidRPr="00771A51">
        <w:rPr>
          <w:b/>
          <w:bCs/>
        </w:rPr>
        <w:t xml:space="preserve">: Total Public </w:t>
      </w:r>
      <w:proofErr w:type="spellStart"/>
      <w:r w:rsidRPr="00771A51">
        <w:rPr>
          <w:b/>
          <w:bCs/>
        </w:rPr>
        <w:t>Debt</w:t>
      </w:r>
      <w:proofErr w:type="spellEnd"/>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771A51">
        <w:br/>
      </w:r>
      <w:r w:rsidRPr="00771A51">
        <w:rPr>
          <w:b/>
          <w:bCs/>
        </w:rPr>
        <w:t>FRED Code</w:t>
      </w:r>
      <w:r w:rsidRPr="00771A51">
        <w:t>: GFDEBTN</w:t>
      </w:r>
      <w:r w:rsidRPr="00771A51">
        <w:br/>
      </w:r>
      <w:r w:rsidRPr="00771A51">
        <w:rPr>
          <w:b/>
          <w:bCs/>
        </w:rPr>
        <w:t>Description</w:t>
      </w:r>
      <w:r w:rsidRPr="00771A51">
        <w:t xml:space="preserve"> : La dette publique totale mesure l'ensemble des emprunts du gouvernement fédéral. Cet indicateur est essentiel pour évaluer la capacité d'un pays à financer ses dépenses et l'impact de la dette sur sa situation économique. Une dette publique élevée peut poser des risques pour la stabilité économique et la politique fiscale future.</w:t>
      </w:r>
    </w:p>
    <w:p w14:paraId="189B5EB1" w14:textId="77777777" w:rsidR="00302659" w:rsidRDefault="00302659" w:rsidP="00947F18"/>
    <w:p w14:paraId="6A2C5ED7" w14:textId="4CEABFEF" w:rsidR="005B05D9" w:rsidRPr="005B05D9" w:rsidRDefault="005B05D9" w:rsidP="005B05D9">
      <w:pPr>
        <w:pStyle w:val="ListParagraph"/>
        <w:numPr>
          <w:ilvl w:val="0"/>
          <w:numId w:val="6"/>
        </w:numPr>
      </w:pPr>
      <w:r w:rsidRPr="005B05D9">
        <w:rPr>
          <w:b/>
          <w:bCs/>
        </w:rPr>
        <w:t xml:space="preserve">Balance </w:t>
      </w:r>
      <w:proofErr w:type="spellStart"/>
      <w:r w:rsidRPr="005B05D9">
        <w:rPr>
          <w:b/>
          <w:bCs/>
        </w:rPr>
        <w:t>Sheet</w:t>
      </w:r>
      <w:proofErr w:type="spellEnd"/>
      <w:r w:rsidRPr="005B05D9">
        <w:rPr>
          <w:b/>
          <w:bCs/>
        </w:rPr>
        <w:t xml:space="preserve">: Total </w:t>
      </w:r>
      <w:proofErr w:type="spellStart"/>
      <w:r w:rsidRPr="005B05D9">
        <w:rPr>
          <w:b/>
          <w:bCs/>
        </w:rPr>
        <w:t>Liabilities</w:t>
      </w:r>
      <w:proofErr w:type="spellEnd"/>
      <w:r w:rsidRPr="005B05D9">
        <w:rPr>
          <w:b/>
          <w:bCs/>
        </w:rPr>
        <w:t xml:space="preserve"> and Capital: Total </w:t>
      </w:r>
      <w:proofErr w:type="spellStart"/>
      <w:r w:rsidRPr="005B05D9">
        <w:rPr>
          <w:b/>
          <w:bCs/>
        </w:rPr>
        <w:t>Equity</w:t>
      </w:r>
      <w:proofErr w:type="spellEnd"/>
      <w:r w:rsidRPr="005B05D9">
        <w:rPr>
          <w:b/>
          <w:bCs/>
        </w:rPr>
        <w:t xml:space="preserve"> Capital: Total Bank </w:t>
      </w:r>
      <w:proofErr w:type="spellStart"/>
      <w:r w:rsidRPr="005B05D9">
        <w:rPr>
          <w:b/>
          <w:bCs/>
        </w:rPr>
        <w:t>Equity</w:t>
      </w:r>
      <w:proofErr w:type="spellEnd"/>
      <w:r w:rsidRPr="005B05D9">
        <w:rPr>
          <w:b/>
          <w:bCs/>
        </w:rPr>
        <w:t xml:space="preserve"> Capital: Surplus</w:t>
      </w:r>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5B05D9">
        <w:br/>
      </w:r>
      <w:r w:rsidRPr="005B05D9">
        <w:rPr>
          <w:b/>
          <w:bCs/>
        </w:rPr>
        <w:t>FRED Code</w:t>
      </w:r>
      <w:r w:rsidRPr="005B05D9">
        <w:t>: QBPBSTLKTEQKTBKEQKSURP</w:t>
      </w:r>
      <w:r w:rsidRPr="005B05D9">
        <w:br/>
      </w:r>
      <w:r w:rsidRPr="005B05D9">
        <w:rPr>
          <w:b/>
          <w:bCs/>
        </w:rPr>
        <w:t>Description</w:t>
      </w:r>
      <w:r w:rsidRPr="005B05D9">
        <w:t xml:space="preserve"> : Cette variable mesure l'excédent de capital bancaire total dans le bilan des banques, indiquant la différence entre les actifs et les passifs des institutions financières. L'excédent de capital est essentiel pour évaluer la solvabilité des banques et leur capacité à absorber des pertes, fournissant ainsi un indicateur clé de leur stabilité financière.</w:t>
      </w:r>
    </w:p>
    <w:p w14:paraId="78D028A2" w14:textId="77777777" w:rsidR="00847C6B" w:rsidRDefault="00847C6B" w:rsidP="00947F18">
      <w:pPr>
        <w:rPr>
          <w:b/>
          <w:bCs/>
        </w:rPr>
      </w:pPr>
    </w:p>
    <w:p w14:paraId="1F5CD3FE" w14:textId="3E108B7C" w:rsidR="005B05D9" w:rsidRDefault="00847C6B" w:rsidP="00847C6B">
      <w:pPr>
        <w:pStyle w:val="ListParagraph"/>
        <w:numPr>
          <w:ilvl w:val="0"/>
          <w:numId w:val="6"/>
        </w:numPr>
      </w:pPr>
      <w:proofErr w:type="spellStart"/>
      <w:r w:rsidRPr="00847C6B">
        <w:rPr>
          <w:b/>
          <w:bCs/>
        </w:rPr>
        <w:t>Government</w:t>
      </w:r>
      <w:proofErr w:type="spellEnd"/>
      <w:r w:rsidRPr="00847C6B">
        <w:rPr>
          <w:b/>
          <w:bCs/>
        </w:rPr>
        <w:t xml:space="preserve"> total </w:t>
      </w:r>
      <w:proofErr w:type="spellStart"/>
      <w:r w:rsidRPr="00847C6B">
        <w:rPr>
          <w:b/>
          <w:bCs/>
        </w:rPr>
        <w:t>expenditures</w:t>
      </w:r>
      <w:proofErr w:type="spellEnd"/>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847C6B">
        <w:br/>
      </w:r>
      <w:r w:rsidRPr="00847C6B">
        <w:rPr>
          <w:b/>
          <w:bCs/>
        </w:rPr>
        <w:t>FRED Code</w:t>
      </w:r>
      <w:r w:rsidRPr="00847C6B">
        <w:t>: W068RCQ027SBEA</w:t>
      </w:r>
      <w:r w:rsidR="003B71DE">
        <w:t xml:space="preserve"> </w:t>
      </w:r>
      <w:r w:rsidRPr="00847C6B">
        <w:br/>
      </w:r>
      <w:r w:rsidRPr="00847C6B">
        <w:rPr>
          <w:b/>
          <w:bCs/>
        </w:rPr>
        <w:t>Description</w:t>
      </w:r>
      <w:r w:rsidRPr="00847C6B">
        <w:t xml:space="preserve"> : Les dépenses totales du gouvernement représentent l'ensemble des fonds dépensés par les autorités publiques pour financer leurs activités, y compris les investissements et les transferts. Cet indicateur est essentiel pour évaluer l'impact des politiques publiques sur l'économie, en particulier en ce qui concerne la stimulation de la croissance économique ou l'atténuation des crises économiques.</w:t>
      </w:r>
    </w:p>
    <w:p w14:paraId="27996052" w14:textId="77777777" w:rsidR="001D3C83" w:rsidRDefault="001D3C83" w:rsidP="00947F18"/>
    <w:p w14:paraId="6AF8ACCC" w14:textId="1B93D536" w:rsidR="007352F8" w:rsidRDefault="007352F8" w:rsidP="00947F18"/>
    <w:p w14:paraId="40272E77" w14:textId="77777777" w:rsidR="003B71DE" w:rsidRDefault="003B71DE" w:rsidP="00947F18"/>
    <w:p w14:paraId="2191CD95" w14:textId="77777777" w:rsidR="003B71DE" w:rsidRDefault="003B71DE" w:rsidP="00947F18"/>
    <w:p w14:paraId="2077C0EB" w14:textId="77777777" w:rsidR="003B71DE" w:rsidRDefault="003B71DE" w:rsidP="00947F18"/>
    <w:p w14:paraId="4CCEE0BD" w14:textId="77777777" w:rsidR="007352F8" w:rsidRDefault="007352F8" w:rsidP="00947F18"/>
    <w:p w14:paraId="3B4B7C32" w14:textId="6FCC2152" w:rsidR="00847C6B" w:rsidRDefault="003551B4" w:rsidP="003551B4">
      <w:pPr>
        <w:pStyle w:val="ListParagraph"/>
        <w:numPr>
          <w:ilvl w:val="0"/>
          <w:numId w:val="6"/>
        </w:numPr>
      </w:pPr>
      <w:proofErr w:type="spellStart"/>
      <w:r w:rsidRPr="003551B4">
        <w:rPr>
          <w:b/>
          <w:bCs/>
        </w:rPr>
        <w:lastRenderedPageBreak/>
        <w:t>Corporate</w:t>
      </w:r>
      <w:proofErr w:type="spellEnd"/>
      <w:r w:rsidRPr="003551B4">
        <w:rPr>
          <w:b/>
          <w:bCs/>
        </w:rPr>
        <w:t xml:space="preserve"> Profits </w:t>
      </w:r>
      <w:proofErr w:type="spellStart"/>
      <w:r w:rsidRPr="003551B4">
        <w:rPr>
          <w:b/>
          <w:bCs/>
        </w:rPr>
        <w:t>After</w:t>
      </w:r>
      <w:proofErr w:type="spellEnd"/>
      <w:r w:rsidRPr="003551B4">
        <w:rPr>
          <w:b/>
          <w:bCs/>
        </w:rPr>
        <w:t xml:space="preserve"> </w:t>
      </w:r>
      <w:proofErr w:type="spellStart"/>
      <w:r w:rsidRPr="003551B4">
        <w:rPr>
          <w:b/>
          <w:bCs/>
        </w:rPr>
        <w:t>Tax</w:t>
      </w:r>
      <w:proofErr w:type="spellEnd"/>
      <w:r w:rsidRPr="003551B4">
        <w:rPr>
          <w:b/>
          <w:bCs/>
        </w:rPr>
        <w:t xml:space="preserve"> (</w:t>
      </w:r>
      <w:proofErr w:type="spellStart"/>
      <w:r w:rsidRPr="003551B4">
        <w:rPr>
          <w:b/>
          <w:bCs/>
        </w:rPr>
        <w:t>without</w:t>
      </w:r>
      <w:proofErr w:type="spellEnd"/>
      <w:r w:rsidRPr="003551B4">
        <w:rPr>
          <w:b/>
          <w:bCs/>
        </w:rPr>
        <w:t xml:space="preserve"> IVA and </w:t>
      </w:r>
      <w:proofErr w:type="spellStart"/>
      <w:r w:rsidRPr="003551B4">
        <w:rPr>
          <w:b/>
          <w:bCs/>
        </w:rPr>
        <w:t>CCAdj</w:t>
      </w:r>
      <w:proofErr w:type="spellEnd"/>
      <w:r w:rsidRPr="003551B4">
        <w:rPr>
          <w:b/>
          <w:bCs/>
        </w:rPr>
        <w:t>)</w:t>
      </w:r>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3551B4">
        <w:br/>
      </w:r>
      <w:r w:rsidRPr="003551B4">
        <w:rPr>
          <w:b/>
          <w:bCs/>
        </w:rPr>
        <w:t>FRED Code</w:t>
      </w:r>
      <w:r w:rsidRPr="003551B4">
        <w:t>: CP</w:t>
      </w:r>
      <w:r w:rsidRPr="003551B4">
        <w:br/>
      </w:r>
      <w:r w:rsidRPr="003551B4">
        <w:rPr>
          <w:b/>
          <w:bCs/>
        </w:rPr>
        <w:t>Description</w:t>
      </w:r>
      <w:r w:rsidRPr="003551B4">
        <w:t xml:space="preserve"> : Les bénéfices des entreprises après impôt (sans ajustement pour l'IVA et le </w:t>
      </w:r>
      <w:proofErr w:type="spellStart"/>
      <w:r w:rsidRPr="003551B4">
        <w:t>CCAdj</w:t>
      </w:r>
      <w:proofErr w:type="spellEnd"/>
      <w:r w:rsidRPr="003551B4">
        <w:t>) mesurent les profits nets des entreprises après déduction des taxes, offrant une vue sur la rentabilité des entreprises. Cet indicateur est crucial pour évaluer la santé économique du secteur privé, car des bénéfices plus élevés peuvent signaler une croissance économique, tandis que des bénéfices plus faibles peuvent indiquer des pressions sur les entreprises ou des ralentissements économiques.</w:t>
      </w:r>
    </w:p>
    <w:p w14:paraId="0DE04D04" w14:textId="77777777" w:rsidR="003551B4" w:rsidRDefault="003551B4" w:rsidP="003551B4">
      <w:pPr>
        <w:pStyle w:val="ListParagraph"/>
      </w:pPr>
    </w:p>
    <w:p w14:paraId="736B2CC4" w14:textId="77777777" w:rsidR="003551B4" w:rsidRDefault="003551B4" w:rsidP="003551B4">
      <w:pPr>
        <w:pStyle w:val="ListParagraph"/>
      </w:pPr>
    </w:p>
    <w:p w14:paraId="40F78A53" w14:textId="77777777" w:rsidR="007352F8" w:rsidRDefault="007352F8" w:rsidP="003551B4">
      <w:pPr>
        <w:pStyle w:val="ListParagraph"/>
      </w:pPr>
    </w:p>
    <w:p w14:paraId="11120491" w14:textId="7ADBF219" w:rsidR="0083103B" w:rsidRDefault="003551B4" w:rsidP="00947F18">
      <w:pPr>
        <w:pStyle w:val="ListParagraph"/>
        <w:numPr>
          <w:ilvl w:val="0"/>
          <w:numId w:val="6"/>
        </w:numPr>
      </w:pPr>
      <w:proofErr w:type="spellStart"/>
      <w:r w:rsidRPr="003551B4">
        <w:rPr>
          <w:b/>
          <w:bCs/>
        </w:rPr>
        <w:t>Federal</w:t>
      </w:r>
      <w:proofErr w:type="spellEnd"/>
      <w:r w:rsidRPr="003551B4">
        <w:rPr>
          <w:b/>
          <w:bCs/>
        </w:rPr>
        <w:t xml:space="preserve"> </w:t>
      </w:r>
      <w:proofErr w:type="spellStart"/>
      <w:r w:rsidRPr="003551B4">
        <w:rPr>
          <w:b/>
          <w:bCs/>
        </w:rPr>
        <w:t>government</w:t>
      </w:r>
      <w:proofErr w:type="spellEnd"/>
      <w:r w:rsidRPr="003551B4">
        <w:rPr>
          <w:b/>
          <w:bCs/>
        </w:rPr>
        <w:t xml:space="preserve"> </w:t>
      </w:r>
      <w:proofErr w:type="spellStart"/>
      <w:r w:rsidRPr="003551B4">
        <w:rPr>
          <w:b/>
          <w:bCs/>
        </w:rPr>
        <w:t>current</w:t>
      </w:r>
      <w:proofErr w:type="spellEnd"/>
      <w:r w:rsidRPr="003551B4">
        <w:rPr>
          <w:b/>
          <w:bCs/>
        </w:rPr>
        <w:t xml:space="preserve"> </w:t>
      </w:r>
      <w:proofErr w:type="spellStart"/>
      <w:r w:rsidRPr="003551B4">
        <w:rPr>
          <w:b/>
          <w:bCs/>
        </w:rPr>
        <w:t>tax</w:t>
      </w:r>
      <w:proofErr w:type="spellEnd"/>
      <w:r w:rsidRPr="003551B4">
        <w:rPr>
          <w:b/>
          <w:bCs/>
        </w:rPr>
        <w:t xml:space="preserve"> </w:t>
      </w:r>
      <w:proofErr w:type="spellStart"/>
      <w:r w:rsidRPr="003551B4">
        <w:rPr>
          <w:b/>
          <w:bCs/>
        </w:rPr>
        <w:t>receipts</w:t>
      </w:r>
      <w:proofErr w:type="spellEnd"/>
      <w:r w:rsidRPr="003551B4">
        <w:rPr>
          <w:b/>
          <w:bCs/>
        </w:rPr>
        <w:t xml:space="preserve">: Taxes on </w:t>
      </w:r>
      <w:proofErr w:type="spellStart"/>
      <w:r w:rsidRPr="003551B4">
        <w:rPr>
          <w:b/>
          <w:bCs/>
        </w:rPr>
        <w:t>corporate</w:t>
      </w:r>
      <w:proofErr w:type="spellEnd"/>
      <w:r w:rsidRPr="003551B4">
        <w:rPr>
          <w:b/>
          <w:bCs/>
        </w:rPr>
        <w:t xml:space="preserve"> </w:t>
      </w:r>
      <w:proofErr w:type="spellStart"/>
      <w:r w:rsidRPr="003551B4">
        <w:rPr>
          <w:b/>
          <w:bCs/>
        </w:rPr>
        <w:t>income</w:t>
      </w:r>
      <w:proofErr w:type="spellEnd"/>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3551B4">
        <w:br/>
      </w:r>
      <w:r w:rsidRPr="003551B4">
        <w:rPr>
          <w:b/>
          <w:bCs/>
        </w:rPr>
        <w:t>FRED Code</w:t>
      </w:r>
      <w:r w:rsidRPr="003551B4">
        <w:t>: B075RC1Q027SBEA</w:t>
      </w:r>
      <w:r w:rsidRPr="003551B4">
        <w:br/>
      </w:r>
      <w:r w:rsidRPr="003551B4">
        <w:rPr>
          <w:b/>
          <w:bCs/>
        </w:rPr>
        <w:t>Description</w:t>
      </w:r>
      <w:r w:rsidRPr="003551B4">
        <w:t xml:space="preserve"> : Cette variable mesure les recettes fiscales courantes du gouvernement fédéral provenant des impôts sur les revenus des entreprises. Elle est essentielle pour évaluer la contribution des entreprises à la fiscalité nationale et l'impact des politiques fiscales sur le secteur privé. Une augmentation de ces recettes peut indiquer une amélioration de la rentabilité des entreprises, tandis qu'une baisse peut refléter une stagnation ou une récession économique.</w:t>
      </w:r>
    </w:p>
    <w:p w14:paraId="2F20C9CE" w14:textId="77777777" w:rsidR="007352F8" w:rsidRDefault="007352F8" w:rsidP="007352F8"/>
    <w:p w14:paraId="5A6E70E7" w14:textId="77777777" w:rsidR="007352F8" w:rsidRDefault="007352F8" w:rsidP="007352F8"/>
    <w:p w14:paraId="3F5D3D12" w14:textId="59DCA1FC" w:rsidR="00847C6B" w:rsidRPr="0083103B" w:rsidRDefault="0083103B" w:rsidP="0083103B">
      <w:pPr>
        <w:pStyle w:val="ListParagraph"/>
        <w:numPr>
          <w:ilvl w:val="0"/>
          <w:numId w:val="6"/>
        </w:numPr>
      </w:pPr>
      <w:r w:rsidRPr="0083103B">
        <w:rPr>
          <w:b/>
          <w:bCs/>
        </w:rPr>
        <w:t xml:space="preserve">National </w:t>
      </w:r>
      <w:proofErr w:type="spellStart"/>
      <w:r w:rsidRPr="0083103B">
        <w:rPr>
          <w:b/>
          <w:bCs/>
        </w:rPr>
        <w:t>income</w:t>
      </w:r>
      <w:proofErr w:type="spellEnd"/>
      <w:r w:rsidRPr="0083103B">
        <w:rPr>
          <w:b/>
          <w:bCs/>
        </w:rPr>
        <w:t xml:space="preserve">: </w:t>
      </w:r>
      <w:proofErr w:type="spellStart"/>
      <w:r w:rsidRPr="0083103B">
        <w:rPr>
          <w:b/>
          <w:bCs/>
        </w:rPr>
        <w:t>Corporate</w:t>
      </w:r>
      <w:proofErr w:type="spellEnd"/>
      <w:r w:rsidRPr="0083103B">
        <w:rPr>
          <w:b/>
          <w:bCs/>
        </w:rPr>
        <w:t xml:space="preserve"> profits </w:t>
      </w:r>
      <w:proofErr w:type="spellStart"/>
      <w:r w:rsidRPr="0083103B">
        <w:rPr>
          <w:b/>
          <w:bCs/>
        </w:rPr>
        <w:t>before</w:t>
      </w:r>
      <w:proofErr w:type="spellEnd"/>
      <w:r w:rsidRPr="0083103B">
        <w:rPr>
          <w:b/>
          <w:bCs/>
        </w:rPr>
        <w:t xml:space="preserve"> </w:t>
      </w:r>
      <w:proofErr w:type="spellStart"/>
      <w:r w:rsidRPr="0083103B">
        <w:rPr>
          <w:b/>
          <w:bCs/>
        </w:rPr>
        <w:t>tax</w:t>
      </w:r>
      <w:proofErr w:type="spellEnd"/>
      <w:r w:rsidRPr="0083103B">
        <w:rPr>
          <w:b/>
          <w:bCs/>
        </w:rPr>
        <w:t xml:space="preserve"> (</w:t>
      </w:r>
      <w:proofErr w:type="spellStart"/>
      <w:r w:rsidRPr="0083103B">
        <w:rPr>
          <w:b/>
          <w:bCs/>
        </w:rPr>
        <w:t>without</w:t>
      </w:r>
      <w:proofErr w:type="spellEnd"/>
      <w:r w:rsidRPr="0083103B">
        <w:rPr>
          <w:b/>
          <w:bCs/>
        </w:rPr>
        <w:t xml:space="preserve"> IVA and </w:t>
      </w:r>
      <w:proofErr w:type="spellStart"/>
      <w:r w:rsidRPr="0083103B">
        <w:rPr>
          <w:b/>
          <w:bCs/>
        </w:rPr>
        <w:t>CCAdj</w:t>
      </w:r>
      <w:proofErr w:type="spellEnd"/>
      <w:r w:rsidRPr="0083103B">
        <w:rPr>
          <w:b/>
          <w:bCs/>
        </w:rPr>
        <w:t>)</w:t>
      </w:r>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83103B">
        <w:br/>
      </w:r>
      <w:r w:rsidRPr="0083103B">
        <w:rPr>
          <w:b/>
          <w:bCs/>
        </w:rPr>
        <w:t>FRED Code</w:t>
      </w:r>
      <w:r w:rsidRPr="0083103B">
        <w:t>: A053RC1Q027SBEA</w:t>
      </w:r>
      <w:r w:rsidRPr="0083103B">
        <w:br/>
      </w:r>
      <w:r w:rsidRPr="0083103B">
        <w:rPr>
          <w:b/>
          <w:bCs/>
        </w:rPr>
        <w:t>Description</w:t>
      </w:r>
      <w:r w:rsidRPr="0083103B">
        <w:t xml:space="preserve"> : Cette variable mesure les bénéfices des entreprises avant impôt, sans ajustement pour l'IVA et le </w:t>
      </w:r>
      <w:proofErr w:type="spellStart"/>
      <w:r w:rsidRPr="0083103B">
        <w:t>CCAdj</w:t>
      </w:r>
      <w:proofErr w:type="spellEnd"/>
      <w:r w:rsidRPr="0083103B">
        <w:t>. Elle reflète la rentabilité des entreprises avant que les taxes ne soient appliquées, offrant une perspective sur la performance économique du secteur privé. Cet indicateur est essentiel pour comprendre les tendances de la rentabilité des entreprises, qui influencent directement l'investissement et l'emploi dans l'économie.</w:t>
      </w:r>
    </w:p>
    <w:p w14:paraId="1D4E75BB" w14:textId="77777777" w:rsidR="005B05D9" w:rsidRDefault="005B05D9" w:rsidP="00947F18"/>
    <w:p w14:paraId="010E08E5" w14:textId="77777777" w:rsidR="00C402C7" w:rsidRDefault="00C402C7" w:rsidP="00947F18"/>
    <w:p w14:paraId="20379158" w14:textId="77777777" w:rsidR="00C402C7" w:rsidRDefault="00C402C7" w:rsidP="00947F18"/>
    <w:p w14:paraId="4FA99BB2" w14:textId="77777777" w:rsidR="00C402C7" w:rsidRDefault="00C402C7" w:rsidP="00947F18"/>
    <w:p w14:paraId="418D39E4" w14:textId="77777777" w:rsidR="00C402C7" w:rsidRDefault="00C402C7" w:rsidP="00947F18"/>
    <w:p w14:paraId="3A3C4A9A" w14:textId="77777777" w:rsidR="00C402C7" w:rsidRDefault="00C402C7" w:rsidP="00947F18"/>
    <w:p w14:paraId="3BE5C025" w14:textId="77777777" w:rsidR="00C402C7" w:rsidRDefault="00C402C7" w:rsidP="00947F18"/>
    <w:p w14:paraId="0FBA65EC" w14:textId="77777777" w:rsidR="00C402C7" w:rsidRPr="00D42CED" w:rsidRDefault="00C402C7" w:rsidP="00947F18"/>
    <w:p w14:paraId="1B2AB66F" w14:textId="16FA46EB" w:rsidR="00280019" w:rsidRPr="00D42CED" w:rsidRDefault="00280019" w:rsidP="007352F8">
      <w:pPr>
        <w:pStyle w:val="Heading1"/>
      </w:pPr>
      <w:r w:rsidRPr="00D42CED">
        <w:lastRenderedPageBreak/>
        <w:t>Catégorie : Offre Monétaire (Masse Monétaire)</w:t>
      </w:r>
    </w:p>
    <w:p w14:paraId="50A57B4B" w14:textId="40A992B3" w:rsidR="00280019" w:rsidRDefault="00960021" w:rsidP="00960021">
      <w:pPr>
        <w:pStyle w:val="ListParagraph"/>
        <w:numPr>
          <w:ilvl w:val="0"/>
          <w:numId w:val="7"/>
        </w:numPr>
      </w:pPr>
      <w:r w:rsidRPr="00960021">
        <w:rPr>
          <w:b/>
          <w:bCs/>
        </w:rPr>
        <w:t>M1</w:t>
      </w:r>
      <w:r w:rsidRPr="00960021">
        <w:br/>
      </w:r>
      <w:r w:rsidRPr="00960021">
        <w:rPr>
          <w:b/>
          <w:bCs/>
        </w:rPr>
        <w:t>FRED Code</w:t>
      </w:r>
      <w:r w:rsidRPr="00960021">
        <w:t>: M1SL</w:t>
      </w:r>
      <w:r w:rsidRPr="00960021">
        <w:br/>
      </w:r>
      <w:r w:rsidRPr="00960021">
        <w:rPr>
          <w:b/>
          <w:bCs/>
        </w:rPr>
        <w:t>Description</w:t>
      </w:r>
      <w:r w:rsidRPr="00960021">
        <w:t xml:space="preserve"> : M1 mesure la masse monétaire étroite dans l'économie, comprenant plusieurs composantes de liquidités immédiatement disponibles. Avant mai 2020, M1 comprenait la monnaie en circulation, les dépôts à vue dans les banques commerciales, et les autres dépôts vérifiables (</w:t>
      </w:r>
      <w:proofErr w:type="spellStart"/>
      <w:r w:rsidRPr="00960021">
        <w:t>OCDs</w:t>
      </w:r>
      <w:proofErr w:type="spellEnd"/>
      <w:r w:rsidRPr="00960021">
        <w:t>), tels que les comptes NOW et ATS. À partir de mai 2020, M1 inclut également les dépôts liquides autres, tels que les dépôts d'épargne et les comptes de marché monétaire. Cette série est importante pour suivre les liquidités dans l'économie, car elle reflète la quantité de monnaie immédiatement accessible pour la consommation et l'investissement. Les ajustements saisonniers sont appliqués pour chaque composante séparément, permettant une analyse plus précise des tendances monétaires.</w:t>
      </w:r>
    </w:p>
    <w:p w14:paraId="3AA84E81" w14:textId="77777777" w:rsidR="00960021" w:rsidRDefault="00960021" w:rsidP="00960021"/>
    <w:p w14:paraId="3D1ED254" w14:textId="3F9C2EB5" w:rsidR="00960021" w:rsidRDefault="00960021" w:rsidP="00960021">
      <w:pPr>
        <w:pStyle w:val="ListParagraph"/>
        <w:numPr>
          <w:ilvl w:val="0"/>
          <w:numId w:val="7"/>
        </w:numPr>
      </w:pPr>
      <w:r w:rsidRPr="00960021">
        <w:rPr>
          <w:b/>
          <w:bCs/>
        </w:rPr>
        <w:t>M2</w:t>
      </w:r>
      <w:r w:rsidRPr="00960021">
        <w:br/>
      </w:r>
      <w:r w:rsidRPr="00960021">
        <w:rPr>
          <w:b/>
          <w:bCs/>
        </w:rPr>
        <w:t>FRED Code</w:t>
      </w:r>
      <w:r w:rsidRPr="00960021">
        <w:t>: M2SL</w:t>
      </w:r>
      <w:r w:rsidRPr="00960021">
        <w:br/>
      </w:r>
      <w:r w:rsidRPr="00960021">
        <w:rPr>
          <w:b/>
          <w:bCs/>
        </w:rPr>
        <w:t>Description</w:t>
      </w:r>
      <w:r w:rsidRPr="00960021">
        <w:t xml:space="preserve"> : M2 représente la masse monétaire plus large que M1, incluant tous les composants de M1 ainsi que des dépôts à terme de petite taille, des dépôts d'épargne (y compris les comptes de marché monétaire) et des fonds communs de placement monétaires de détail. Avant mai 2020, M2 comprenait également des dépôts de petite taille (moins de 100 000 $) et des soldes dans les fonds monétaires de détail. Depuis mai 2020, M2 inclut uniquement les dépôts à terme de petite taille et les soldes dans les fonds monétaires de détail, en excluant les soldes des comptes de retraite individuels (IRA) et de Keogh. Cette mesure est essentielle pour observer l'évolution des liquidités disponibles dans l'économie, offrant une image plus complète de la monnaie en circulation par rapport à M1.</w:t>
      </w:r>
    </w:p>
    <w:p w14:paraId="0CEA7051" w14:textId="77777777" w:rsidR="00960021" w:rsidRDefault="00960021" w:rsidP="00960021">
      <w:pPr>
        <w:pStyle w:val="ListParagraph"/>
      </w:pPr>
    </w:p>
    <w:p w14:paraId="132F95A6" w14:textId="041BE30C" w:rsidR="00D0727A" w:rsidRDefault="00960021" w:rsidP="00960021">
      <w:pPr>
        <w:pStyle w:val="ListParagraph"/>
        <w:numPr>
          <w:ilvl w:val="0"/>
          <w:numId w:val="7"/>
        </w:numPr>
      </w:pPr>
      <w:proofErr w:type="spellStart"/>
      <w:r w:rsidRPr="00960021">
        <w:rPr>
          <w:b/>
          <w:bCs/>
        </w:rPr>
        <w:t>Monetary</w:t>
      </w:r>
      <w:proofErr w:type="spellEnd"/>
      <w:r w:rsidRPr="00960021">
        <w:rPr>
          <w:b/>
          <w:bCs/>
        </w:rPr>
        <w:t xml:space="preserve"> Base: Total</w:t>
      </w:r>
      <w:r w:rsidRPr="00960021">
        <w:br/>
      </w:r>
      <w:r w:rsidRPr="00960021">
        <w:rPr>
          <w:b/>
          <w:bCs/>
        </w:rPr>
        <w:t>FRED Code</w:t>
      </w:r>
      <w:r w:rsidRPr="00960021">
        <w:t>: BOGMBASE</w:t>
      </w:r>
      <w:r w:rsidRPr="00960021">
        <w:br/>
      </w:r>
      <w:r w:rsidRPr="00960021">
        <w:rPr>
          <w:b/>
          <w:bCs/>
        </w:rPr>
        <w:t>Description</w:t>
      </w:r>
      <w:r w:rsidRPr="00960021">
        <w:t xml:space="preserve"> : La base monétaire totale représente la quantité totale de monnaie en circulation plus les soldes de réserve détenus par les institutions financières. Cette série a été consolidée dans la publication statistique H.6, "Money Stock </w:t>
      </w:r>
      <w:proofErr w:type="spellStart"/>
      <w:r w:rsidRPr="00960021">
        <w:t>Measures</w:t>
      </w:r>
      <w:proofErr w:type="spellEnd"/>
      <w:r w:rsidRPr="00960021">
        <w:t>", après l'arrêt de la publication H.3. La base monétaire est un indicateur clé de l'offre monétaire, montrant la quantité de monnaie disponible dans l'économie et la capacité des banques centrales à influencer les conditions économiques à travers la gestion des réserves.</w:t>
      </w:r>
    </w:p>
    <w:p w14:paraId="67A71256" w14:textId="77777777" w:rsidR="00D0727A" w:rsidRDefault="00D0727A" w:rsidP="00960021"/>
    <w:p w14:paraId="02674F7B" w14:textId="2B10A9B4" w:rsidR="00D0727A" w:rsidRPr="00D0727A" w:rsidRDefault="00D0727A" w:rsidP="00D0727A">
      <w:pPr>
        <w:pStyle w:val="ListParagraph"/>
        <w:numPr>
          <w:ilvl w:val="0"/>
          <w:numId w:val="7"/>
        </w:numPr>
      </w:pPr>
      <w:proofErr w:type="spellStart"/>
      <w:r w:rsidRPr="00D0727A">
        <w:rPr>
          <w:b/>
          <w:bCs/>
        </w:rPr>
        <w:t>Households</w:t>
      </w:r>
      <w:proofErr w:type="spellEnd"/>
      <w:r w:rsidRPr="00D0727A">
        <w:rPr>
          <w:b/>
          <w:bCs/>
        </w:rPr>
        <w:t xml:space="preserve"> and </w:t>
      </w:r>
      <w:proofErr w:type="spellStart"/>
      <w:r w:rsidRPr="00D0727A">
        <w:rPr>
          <w:b/>
          <w:bCs/>
        </w:rPr>
        <w:t>Nonprofit</w:t>
      </w:r>
      <w:proofErr w:type="spellEnd"/>
      <w:r w:rsidRPr="00D0727A">
        <w:rPr>
          <w:b/>
          <w:bCs/>
        </w:rPr>
        <w:t xml:space="preserve"> Organizations; Total Time and </w:t>
      </w:r>
      <w:proofErr w:type="spellStart"/>
      <w:r w:rsidRPr="00D0727A">
        <w:rPr>
          <w:b/>
          <w:bCs/>
        </w:rPr>
        <w:t>Savings</w:t>
      </w:r>
      <w:proofErr w:type="spellEnd"/>
      <w:r w:rsidRPr="00D0727A">
        <w:rPr>
          <w:b/>
          <w:bCs/>
        </w:rPr>
        <w:t xml:space="preserve"> </w:t>
      </w:r>
      <w:proofErr w:type="spellStart"/>
      <w:r w:rsidRPr="00D0727A">
        <w:rPr>
          <w:b/>
          <w:bCs/>
        </w:rPr>
        <w:t>Deposits</w:t>
      </w:r>
      <w:proofErr w:type="spellEnd"/>
      <w:r w:rsidRPr="00D0727A">
        <w:rPr>
          <w:b/>
          <w:bCs/>
        </w:rPr>
        <w:t xml:space="preserve">; Asset, </w:t>
      </w:r>
      <w:proofErr w:type="spellStart"/>
      <w:r w:rsidRPr="00D0727A">
        <w:rPr>
          <w:b/>
          <w:bCs/>
        </w:rPr>
        <w:t>Level</w:t>
      </w:r>
      <w:proofErr w:type="spellEnd"/>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D0727A">
        <w:br/>
      </w:r>
      <w:r w:rsidRPr="00D0727A">
        <w:rPr>
          <w:b/>
          <w:bCs/>
        </w:rPr>
        <w:t>FRED Code</w:t>
      </w:r>
      <w:r w:rsidRPr="00D0727A">
        <w:t>: TSDABSHNO</w:t>
      </w:r>
      <w:r w:rsidRPr="00D0727A">
        <w:br/>
      </w:r>
      <w:r w:rsidRPr="00D0727A">
        <w:rPr>
          <w:b/>
          <w:bCs/>
        </w:rPr>
        <w:t>Description</w:t>
      </w:r>
      <w:r w:rsidRPr="00D0727A">
        <w:t xml:space="preserve"> : Cette variable mesure le niveau total des dépôts à terme et des dépôts d'épargne détenus par les ménages et les organisations à but non lucratif. Elle fournit une indication sur l'épargne disponible au sein de ces segments de la population, ce qui est essentiel pour évaluer la stabilité financière et la propension à épargner dans l'économie. Ces dépôts sont une </w:t>
      </w:r>
      <w:r w:rsidRPr="00D0727A">
        <w:lastRenderedPageBreak/>
        <w:t>composante clé des actifs financiers, et leur évolution peut refléter les tendances économiques globales, y compris la confiance des consommateurs et la gestion de la liquidité.</w:t>
      </w:r>
    </w:p>
    <w:p w14:paraId="2BC4DF49" w14:textId="77777777" w:rsidR="00960021" w:rsidRDefault="00960021" w:rsidP="00960021"/>
    <w:p w14:paraId="6329B387" w14:textId="4A0BA179" w:rsidR="00D0727A" w:rsidRPr="00D0727A" w:rsidRDefault="00D0727A" w:rsidP="00D0727A">
      <w:pPr>
        <w:pStyle w:val="ListParagraph"/>
        <w:numPr>
          <w:ilvl w:val="0"/>
          <w:numId w:val="7"/>
        </w:numPr>
      </w:pPr>
      <w:r w:rsidRPr="00D0727A">
        <w:rPr>
          <w:b/>
          <w:bCs/>
        </w:rPr>
        <w:t>Small-</w:t>
      </w:r>
      <w:proofErr w:type="spellStart"/>
      <w:r w:rsidRPr="00D0727A">
        <w:rPr>
          <w:b/>
          <w:bCs/>
        </w:rPr>
        <w:t>Denomination</w:t>
      </w:r>
      <w:proofErr w:type="spellEnd"/>
      <w:r w:rsidRPr="00D0727A">
        <w:rPr>
          <w:b/>
          <w:bCs/>
        </w:rPr>
        <w:t xml:space="preserve"> Time </w:t>
      </w:r>
      <w:proofErr w:type="spellStart"/>
      <w:r w:rsidRPr="00D0727A">
        <w:rPr>
          <w:b/>
          <w:bCs/>
        </w:rPr>
        <w:t>Deposits</w:t>
      </w:r>
      <w:proofErr w:type="spellEnd"/>
      <w:r w:rsidRPr="00D0727A">
        <w:rPr>
          <w:b/>
          <w:bCs/>
        </w:rPr>
        <w:t>: Total</w:t>
      </w:r>
      <w:r w:rsidRPr="00D0727A">
        <w:br/>
      </w:r>
      <w:r w:rsidRPr="00D0727A">
        <w:rPr>
          <w:b/>
          <w:bCs/>
        </w:rPr>
        <w:t>FRED Code</w:t>
      </w:r>
      <w:r w:rsidRPr="00D0727A">
        <w:t>: STDSL</w:t>
      </w:r>
      <w:r w:rsidRPr="00D0727A">
        <w:br/>
      </w:r>
      <w:r w:rsidRPr="00D0727A">
        <w:rPr>
          <w:b/>
          <w:bCs/>
        </w:rPr>
        <w:t>Description</w:t>
      </w:r>
      <w:r w:rsidRPr="00D0727A">
        <w:t xml:space="preserve"> : Les dépôts à terme de petite taille représentent les dépôts effectués par les particuliers dans les institutions financières, généralement inférieurs à 100 000 $, avec une échéance déterminée. Ces dépôts sont importants car ils reflètent la confiance des consommateurs dans le système bancaire et peuvent indiquer les tendances de l'épargne à moyen terme. L'évolution de cette variable est un indicateur utile pour évaluer les pressions sur les liquidités dans l'économie.</w:t>
      </w:r>
    </w:p>
    <w:p w14:paraId="107B64E9" w14:textId="77777777" w:rsidR="00960021" w:rsidRDefault="00960021" w:rsidP="00960021"/>
    <w:p w14:paraId="3242640A" w14:textId="177D88C8" w:rsidR="00960021" w:rsidRDefault="00580FD8" w:rsidP="00580FD8">
      <w:pPr>
        <w:pStyle w:val="ListParagraph"/>
        <w:numPr>
          <w:ilvl w:val="0"/>
          <w:numId w:val="7"/>
        </w:numPr>
      </w:pPr>
      <w:proofErr w:type="spellStart"/>
      <w:r w:rsidRPr="00580FD8">
        <w:rPr>
          <w:b/>
          <w:bCs/>
        </w:rPr>
        <w:t>Retail</w:t>
      </w:r>
      <w:proofErr w:type="spellEnd"/>
      <w:r w:rsidRPr="00580FD8">
        <w:rPr>
          <w:b/>
          <w:bCs/>
        </w:rPr>
        <w:t xml:space="preserve"> Money </w:t>
      </w:r>
      <w:proofErr w:type="spellStart"/>
      <w:r w:rsidRPr="00580FD8">
        <w:rPr>
          <w:b/>
          <w:bCs/>
        </w:rPr>
        <w:t>Market</w:t>
      </w:r>
      <w:proofErr w:type="spellEnd"/>
      <w:r w:rsidRPr="00580FD8">
        <w:rPr>
          <w:b/>
          <w:bCs/>
        </w:rPr>
        <w:t xml:space="preserve"> Funds</w:t>
      </w:r>
      <w:r w:rsidRPr="00580FD8">
        <w:br/>
      </w:r>
      <w:r w:rsidRPr="00580FD8">
        <w:rPr>
          <w:b/>
          <w:bCs/>
        </w:rPr>
        <w:t>FRED Code</w:t>
      </w:r>
      <w:r w:rsidRPr="00580FD8">
        <w:t>: RMFSL</w:t>
      </w:r>
      <w:r w:rsidRPr="00580FD8">
        <w:br/>
      </w:r>
      <w:r w:rsidRPr="00580FD8">
        <w:rPr>
          <w:b/>
          <w:bCs/>
        </w:rPr>
        <w:t>Description</w:t>
      </w:r>
      <w:r w:rsidRPr="00580FD8">
        <w:t xml:space="preserve"> : Les fonds monétaires de détail représentent les investissements dans des fonds communs de placement qui investissent principalement dans des instruments financiers à court terme et de haute qualité, tels que des certificats de dépôt, des bons du Trésor et des titres commerciaux. Ces fonds sont souvent utilisés par les ménages pour gérer leur liquidité à court terme tout en obtenant un rendement modéré. L'évolution de cette variable donne un aperçu de la gestion de la liquidité par les consommateurs et de leur appétit pour des instruments de </w:t>
      </w:r>
      <w:proofErr w:type="gramStart"/>
      <w:r w:rsidRPr="00580FD8">
        <w:t>placement</w:t>
      </w:r>
      <w:proofErr w:type="gramEnd"/>
      <w:r w:rsidRPr="00580FD8">
        <w:t xml:space="preserve"> sûrs.</w:t>
      </w:r>
    </w:p>
    <w:p w14:paraId="2401A957" w14:textId="77777777" w:rsidR="00960021" w:rsidRDefault="00960021" w:rsidP="00960021"/>
    <w:p w14:paraId="4AAC79A0" w14:textId="0B9A4844" w:rsidR="00580FD8" w:rsidRDefault="00580FD8" w:rsidP="00580FD8">
      <w:pPr>
        <w:pStyle w:val="ListParagraph"/>
        <w:numPr>
          <w:ilvl w:val="0"/>
          <w:numId w:val="7"/>
        </w:numPr>
      </w:pPr>
      <w:proofErr w:type="spellStart"/>
      <w:r w:rsidRPr="00580FD8">
        <w:rPr>
          <w:b/>
          <w:bCs/>
        </w:rPr>
        <w:t>Households</w:t>
      </w:r>
      <w:proofErr w:type="spellEnd"/>
      <w:r w:rsidRPr="00580FD8">
        <w:rPr>
          <w:b/>
          <w:bCs/>
        </w:rPr>
        <w:t xml:space="preserve">; Money </w:t>
      </w:r>
      <w:proofErr w:type="spellStart"/>
      <w:r w:rsidRPr="00580FD8">
        <w:rPr>
          <w:b/>
          <w:bCs/>
        </w:rPr>
        <w:t>Market</w:t>
      </w:r>
      <w:proofErr w:type="spellEnd"/>
      <w:r w:rsidRPr="00580FD8">
        <w:rPr>
          <w:b/>
          <w:bCs/>
        </w:rPr>
        <w:t xml:space="preserve"> </w:t>
      </w:r>
      <w:proofErr w:type="spellStart"/>
      <w:r w:rsidRPr="00580FD8">
        <w:rPr>
          <w:b/>
          <w:bCs/>
        </w:rPr>
        <w:t>Fund</w:t>
      </w:r>
      <w:proofErr w:type="spellEnd"/>
      <w:r w:rsidRPr="00580FD8">
        <w:rPr>
          <w:b/>
          <w:bCs/>
        </w:rPr>
        <w:t xml:space="preserve"> </w:t>
      </w:r>
      <w:proofErr w:type="spellStart"/>
      <w:r w:rsidRPr="00580FD8">
        <w:rPr>
          <w:b/>
          <w:bCs/>
        </w:rPr>
        <w:t>Shares</w:t>
      </w:r>
      <w:proofErr w:type="spellEnd"/>
      <w:r w:rsidRPr="00580FD8">
        <w:rPr>
          <w:b/>
          <w:bCs/>
        </w:rPr>
        <w:t xml:space="preserve">; Asset, </w:t>
      </w:r>
      <w:proofErr w:type="spellStart"/>
      <w:r w:rsidRPr="00580FD8">
        <w:rPr>
          <w:b/>
          <w:bCs/>
        </w:rPr>
        <w:t>Level</w:t>
      </w:r>
      <w:proofErr w:type="spellEnd"/>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580FD8">
        <w:br/>
      </w:r>
      <w:r w:rsidRPr="00580FD8">
        <w:rPr>
          <w:b/>
          <w:bCs/>
        </w:rPr>
        <w:t>FRED Code</w:t>
      </w:r>
      <w:r w:rsidRPr="00580FD8">
        <w:t>: BOGZ1FL193034005Q</w:t>
      </w:r>
      <w:r w:rsidRPr="00580FD8">
        <w:br/>
      </w:r>
      <w:r w:rsidRPr="00580FD8">
        <w:rPr>
          <w:b/>
          <w:bCs/>
        </w:rPr>
        <w:t>Description</w:t>
      </w:r>
      <w:r w:rsidRPr="00580FD8">
        <w:t xml:space="preserve"> : Cette variable mesure le niveau des parts de fonds monétaires détenues par les ménages. Les fonds monétaires sont des investissements à faible risque qui permettent aux ménages de gérer leur épargne à court terme tout en obtenant un rendement modéré. Cette variable est importante pour évaluer l'accumulation de liquidités par les ménages et peut fournir des informations sur leur disposition à investir dans des instruments à faible risque.</w:t>
      </w:r>
    </w:p>
    <w:p w14:paraId="605899F3" w14:textId="77777777" w:rsidR="00960021" w:rsidRDefault="00960021" w:rsidP="00960021"/>
    <w:p w14:paraId="54A44066" w14:textId="77777777" w:rsidR="00580FD8" w:rsidRDefault="00580FD8" w:rsidP="00960021"/>
    <w:p w14:paraId="1B16CC71" w14:textId="77777777" w:rsidR="00580FD8" w:rsidRDefault="00580FD8" w:rsidP="00960021"/>
    <w:p w14:paraId="6DFE6EAB" w14:textId="77777777" w:rsidR="00C402C7" w:rsidRDefault="00C402C7" w:rsidP="00960021"/>
    <w:p w14:paraId="76AB64A0" w14:textId="77777777" w:rsidR="00C402C7" w:rsidRDefault="00C402C7" w:rsidP="00960021"/>
    <w:p w14:paraId="442F73AD" w14:textId="77777777" w:rsidR="00C402C7" w:rsidRDefault="00C402C7" w:rsidP="00960021"/>
    <w:p w14:paraId="2A6FDBD3" w14:textId="77777777" w:rsidR="00580FD8" w:rsidRDefault="00580FD8" w:rsidP="00960021"/>
    <w:p w14:paraId="0CFBD613" w14:textId="50A6FBD3" w:rsidR="003B71DE" w:rsidRDefault="00580FD8" w:rsidP="00960021">
      <w:pPr>
        <w:pStyle w:val="ListParagraph"/>
        <w:numPr>
          <w:ilvl w:val="0"/>
          <w:numId w:val="7"/>
        </w:numPr>
      </w:pPr>
      <w:proofErr w:type="spellStart"/>
      <w:r w:rsidRPr="00580FD8">
        <w:rPr>
          <w:b/>
          <w:bCs/>
        </w:rPr>
        <w:lastRenderedPageBreak/>
        <w:t>Households</w:t>
      </w:r>
      <w:proofErr w:type="spellEnd"/>
      <w:r w:rsidRPr="00580FD8">
        <w:rPr>
          <w:b/>
          <w:bCs/>
        </w:rPr>
        <w:t xml:space="preserve"> and </w:t>
      </w:r>
      <w:proofErr w:type="spellStart"/>
      <w:r w:rsidRPr="00580FD8">
        <w:rPr>
          <w:b/>
          <w:bCs/>
        </w:rPr>
        <w:t>Nonprofit</w:t>
      </w:r>
      <w:proofErr w:type="spellEnd"/>
      <w:r w:rsidRPr="00580FD8">
        <w:rPr>
          <w:b/>
          <w:bCs/>
        </w:rPr>
        <w:t xml:space="preserve"> Organizations; Total Currency and </w:t>
      </w:r>
      <w:proofErr w:type="spellStart"/>
      <w:r w:rsidRPr="00580FD8">
        <w:rPr>
          <w:b/>
          <w:bCs/>
        </w:rPr>
        <w:t>Deposits</w:t>
      </w:r>
      <w:proofErr w:type="spellEnd"/>
      <w:r w:rsidRPr="00580FD8">
        <w:rPr>
          <w:b/>
          <w:bCs/>
        </w:rPr>
        <w:t xml:space="preserve"> </w:t>
      </w:r>
      <w:proofErr w:type="spellStart"/>
      <w:r w:rsidRPr="00580FD8">
        <w:rPr>
          <w:b/>
          <w:bCs/>
        </w:rPr>
        <w:t>Including</w:t>
      </w:r>
      <w:proofErr w:type="spellEnd"/>
      <w:r w:rsidRPr="00580FD8">
        <w:rPr>
          <w:b/>
          <w:bCs/>
        </w:rPr>
        <w:t xml:space="preserve"> Money </w:t>
      </w:r>
      <w:proofErr w:type="spellStart"/>
      <w:r w:rsidRPr="00580FD8">
        <w:rPr>
          <w:b/>
          <w:bCs/>
        </w:rPr>
        <w:t>Market</w:t>
      </w:r>
      <w:proofErr w:type="spellEnd"/>
      <w:r w:rsidRPr="00580FD8">
        <w:rPr>
          <w:b/>
          <w:bCs/>
        </w:rPr>
        <w:t xml:space="preserve"> </w:t>
      </w:r>
      <w:proofErr w:type="spellStart"/>
      <w:r w:rsidRPr="00580FD8">
        <w:rPr>
          <w:b/>
          <w:bCs/>
        </w:rPr>
        <w:t>Fund</w:t>
      </w:r>
      <w:proofErr w:type="spellEnd"/>
      <w:r w:rsidRPr="00580FD8">
        <w:rPr>
          <w:b/>
          <w:bCs/>
        </w:rPr>
        <w:t xml:space="preserve"> </w:t>
      </w:r>
      <w:proofErr w:type="spellStart"/>
      <w:r w:rsidRPr="00580FD8">
        <w:rPr>
          <w:b/>
          <w:bCs/>
        </w:rPr>
        <w:t>Shares</w:t>
      </w:r>
      <w:proofErr w:type="spellEnd"/>
      <w:r w:rsidRPr="00580FD8">
        <w:rPr>
          <w:b/>
          <w:bCs/>
        </w:rPr>
        <w:t xml:space="preserve">; Asset, </w:t>
      </w:r>
      <w:proofErr w:type="spellStart"/>
      <w:r w:rsidRPr="00580FD8">
        <w:rPr>
          <w:b/>
          <w:bCs/>
        </w:rPr>
        <w:t>Level</w:t>
      </w:r>
      <w:proofErr w:type="spellEnd"/>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580FD8">
        <w:br/>
      </w:r>
      <w:r w:rsidRPr="00580FD8">
        <w:rPr>
          <w:b/>
          <w:bCs/>
        </w:rPr>
        <w:t>FRED Code</w:t>
      </w:r>
      <w:r w:rsidRPr="00580FD8">
        <w:t>: DABSHNO</w:t>
      </w:r>
      <w:r w:rsidRPr="00580FD8">
        <w:br/>
      </w:r>
      <w:r w:rsidRPr="00580FD8">
        <w:rPr>
          <w:b/>
          <w:bCs/>
        </w:rPr>
        <w:t>Description</w:t>
      </w:r>
      <w:r w:rsidRPr="00580FD8">
        <w:t xml:space="preserve"> : Cette variable mesure le niveau total de la monnaie et des dépôts, y compris les parts de fonds monétaires, détenu par les ménages et les organisations à but non lucratif. Elle fournit un aperçu complet des actifs liquides disponibles dans ces segments de la population, ce qui est essentiel pour analyser les tendances de consommation, d'épargne et de gestion de la liquidité. Cette série permet également de mieux comprendre la stabilité financière des ménages et de suivre l'évolution de la capacité des consommateurs à financer leur consommation ou leurs investissements.</w:t>
      </w:r>
    </w:p>
    <w:p w14:paraId="647CDE68" w14:textId="77777777" w:rsidR="003B71DE" w:rsidRDefault="003B71DE" w:rsidP="00960021"/>
    <w:p w14:paraId="4AFD8D7A" w14:textId="03F8486D" w:rsidR="00960021" w:rsidRDefault="00B1271E" w:rsidP="00B1271E">
      <w:pPr>
        <w:pStyle w:val="ListParagraph"/>
        <w:numPr>
          <w:ilvl w:val="0"/>
          <w:numId w:val="7"/>
        </w:numPr>
      </w:pPr>
      <w:proofErr w:type="spellStart"/>
      <w:r w:rsidRPr="00B1271E">
        <w:rPr>
          <w:b/>
          <w:bCs/>
        </w:rPr>
        <w:t>Nonfinancial</w:t>
      </w:r>
      <w:proofErr w:type="spellEnd"/>
      <w:r w:rsidRPr="00B1271E">
        <w:rPr>
          <w:b/>
          <w:bCs/>
        </w:rPr>
        <w:t xml:space="preserve"> </w:t>
      </w:r>
      <w:proofErr w:type="spellStart"/>
      <w:r w:rsidRPr="00B1271E">
        <w:rPr>
          <w:b/>
          <w:bCs/>
        </w:rPr>
        <w:t>Corporate</w:t>
      </w:r>
      <w:proofErr w:type="spellEnd"/>
      <w:r w:rsidRPr="00B1271E">
        <w:rPr>
          <w:b/>
          <w:bCs/>
        </w:rPr>
        <w:t xml:space="preserve"> Business; Security </w:t>
      </w:r>
      <w:proofErr w:type="spellStart"/>
      <w:r w:rsidRPr="00B1271E">
        <w:rPr>
          <w:b/>
          <w:bCs/>
        </w:rPr>
        <w:t>Repurchase</w:t>
      </w:r>
      <w:proofErr w:type="spellEnd"/>
      <w:r w:rsidRPr="00B1271E">
        <w:rPr>
          <w:b/>
          <w:bCs/>
        </w:rPr>
        <w:t xml:space="preserve"> </w:t>
      </w:r>
      <w:proofErr w:type="spellStart"/>
      <w:r w:rsidRPr="00B1271E">
        <w:rPr>
          <w:b/>
          <w:bCs/>
        </w:rPr>
        <w:t>Agreements</w:t>
      </w:r>
      <w:proofErr w:type="spellEnd"/>
      <w:r w:rsidRPr="00B1271E">
        <w:rPr>
          <w:b/>
          <w:bCs/>
        </w:rPr>
        <w:t xml:space="preserve">; Asset, </w:t>
      </w:r>
      <w:proofErr w:type="spellStart"/>
      <w:r w:rsidRPr="00B1271E">
        <w:rPr>
          <w:b/>
          <w:bCs/>
        </w:rPr>
        <w:t>Level</w:t>
      </w:r>
      <w:proofErr w:type="spellEnd"/>
      <w:r w:rsidR="003B71DE">
        <w:rPr>
          <w:b/>
          <w:bCs/>
        </w:rPr>
        <w:t xml:space="preserve"> </w:t>
      </w:r>
      <w:r w:rsidR="003B71DE" w:rsidRPr="003B71DE">
        <w:rPr>
          <w:b/>
          <w:bCs/>
        </w:rPr>
        <w:sym w:font="Wingdings" w:char="F0E0"/>
      </w:r>
      <w:r w:rsidR="003B71DE">
        <w:rPr>
          <w:b/>
          <w:bCs/>
        </w:rPr>
        <w:t xml:space="preserve"> </w:t>
      </w:r>
      <w:r w:rsidR="003B71DE" w:rsidRPr="00302659">
        <w:rPr>
          <w:b/>
          <w:bCs/>
          <w:color w:val="FF0000"/>
        </w:rPr>
        <w:t>(Trimestrielle)</w:t>
      </w:r>
      <w:r w:rsidRPr="00B1271E">
        <w:br/>
      </w:r>
      <w:r w:rsidRPr="00B1271E">
        <w:rPr>
          <w:b/>
          <w:bCs/>
        </w:rPr>
        <w:t>FRED Code</w:t>
      </w:r>
      <w:r w:rsidRPr="00B1271E">
        <w:t>: SRPSABSNNCB</w:t>
      </w:r>
      <w:r w:rsidRPr="00B1271E">
        <w:br/>
      </w:r>
      <w:r w:rsidRPr="00B1271E">
        <w:rPr>
          <w:b/>
          <w:bCs/>
        </w:rPr>
        <w:t>Description</w:t>
      </w:r>
      <w:r w:rsidRPr="00B1271E">
        <w:t xml:space="preserve"> : Cette variable mesure le niveau des accords de rachat de titres détenus par les entreprises non financières. Les accords de rachat de titres (repos) sont des transactions où une entreprise vend un titre à une autre partie avec l'accord de le racheter à une date ultérieure à un prix plus élevé. Ces transactions sont couramment utilisées pour gérer la liquidité à court terme et peuvent refléter les conditions financières des entreprises non financières et leur besoin de financement à court terme.</w:t>
      </w:r>
    </w:p>
    <w:p w14:paraId="5B6430E4" w14:textId="77777777" w:rsidR="00B1271E" w:rsidRDefault="00B1271E" w:rsidP="00B1271E">
      <w:pPr>
        <w:pStyle w:val="ListParagraph"/>
      </w:pPr>
    </w:p>
    <w:p w14:paraId="4211A15C" w14:textId="77777777" w:rsidR="00B1271E" w:rsidRDefault="00B1271E" w:rsidP="00B1271E">
      <w:pPr>
        <w:pStyle w:val="ListParagraph"/>
      </w:pPr>
    </w:p>
    <w:p w14:paraId="09D8C0AC" w14:textId="23311DF4" w:rsidR="00B1271E" w:rsidRDefault="00B1271E" w:rsidP="00B1271E">
      <w:pPr>
        <w:pStyle w:val="ListParagraph"/>
        <w:numPr>
          <w:ilvl w:val="0"/>
          <w:numId w:val="7"/>
        </w:numPr>
      </w:pPr>
      <w:r w:rsidRPr="003B71DE">
        <w:rPr>
          <w:b/>
          <w:bCs/>
        </w:rPr>
        <w:t xml:space="preserve">Security Brokers and Dealers; Security </w:t>
      </w:r>
      <w:proofErr w:type="spellStart"/>
      <w:r w:rsidRPr="003B71DE">
        <w:rPr>
          <w:b/>
          <w:bCs/>
        </w:rPr>
        <w:t>Repurchase</w:t>
      </w:r>
      <w:proofErr w:type="spellEnd"/>
      <w:r w:rsidRPr="003B71DE">
        <w:rPr>
          <w:b/>
          <w:bCs/>
        </w:rPr>
        <w:t xml:space="preserve"> </w:t>
      </w:r>
      <w:proofErr w:type="spellStart"/>
      <w:r w:rsidRPr="003B71DE">
        <w:rPr>
          <w:b/>
          <w:bCs/>
        </w:rPr>
        <w:t>Agreements</w:t>
      </w:r>
      <w:proofErr w:type="spellEnd"/>
      <w:r w:rsidRPr="003B71DE">
        <w:rPr>
          <w:b/>
          <w:bCs/>
        </w:rPr>
        <w:t xml:space="preserve">; </w:t>
      </w:r>
      <w:proofErr w:type="spellStart"/>
      <w:r w:rsidRPr="003B71DE">
        <w:rPr>
          <w:b/>
          <w:bCs/>
        </w:rPr>
        <w:t>Liability</w:t>
      </w:r>
      <w:proofErr w:type="spellEnd"/>
      <w:r w:rsidRPr="003B71DE">
        <w:rPr>
          <w:b/>
          <w:bCs/>
        </w:rPr>
        <w:t xml:space="preserve">, </w:t>
      </w:r>
      <w:proofErr w:type="spellStart"/>
      <w:r w:rsidRPr="003B71DE">
        <w:rPr>
          <w:b/>
          <w:bCs/>
        </w:rPr>
        <w:t>Level</w:t>
      </w:r>
      <w:proofErr w:type="spellEnd"/>
      <w:r w:rsidR="003B71DE" w:rsidRPr="003B71DE">
        <w:rPr>
          <w:b/>
          <w:bCs/>
        </w:rPr>
        <w:t xml:space="preserve"> </w:t>
      </w:r>
      <w:r w:rsidR="003B71DE" w:rsidRPr="003B71DE">
        <w:rPr>
          <w:b/>
          <w:bCs/>
          <w:lang w:val="en-CA"/>
        </w:rPr>
        <w:sym w:font="Wingdings" w:char="F0E0"/>
      </w:r>
      <w:r w:rsidR="003B71DE" w:rsidRPr="003B71DE">
        <w:rPr>
          <w:b/>
          <w:bCs/>
        </w:rPr>
        <w:t xml:space="preserve"> </w:t>
      </w:r>
      <w:r w:rsidR="003B71DE" w:rsidRPr="00302659">
        <w:rPr>
          <w:b/>
          <w:bCs/>
          <w:color w:val="FF0000"/>
        </w:rPr>
        <w:t>(Trimestrielle)</w:t>
      </w:r>
      <w:r w:rsidRPr="003B71DE">
        <w:br/>
      </w:r>
      <w:r w:rsidRPr="00B1271E">
        <w:rPr>
          <w:b/>
          <w:bCs/>
        </w:rPr>
        <w:t>FRED Code</w:t>
      </w:r>
      <w:r w:rsidRPr="00B1271E">
        <w:t>: BOGZ1FL662151003Q</w:t>
      </w:r>
      <w:r w:rsidRPr="00B1271E">
        <w:br/>
      </w:r>
      <w:r w:rsidRPr="00B1271E">
        <w:rPr>
          <w:b/>
          <w:bCs/>
        </w:rPr>
        <w:t>Description</w:t>
      </w:r>
      <w:r w:rsidRPr="00B1271E">
        <w:t xml:space="preserve"> : Cette variable mesure le niveau des accords de rachat de titres en tant que passif des courtiers et négociants en valeurs mobilières. Les accords de rachat de titres (repos) sont des contrats où un courtier ou un négociant vend des titres avec l'accord de les racheter à une date ultérieure, généralement pour obtenir des financements à court terme. Cette série est importante pour évaluer la position de liquidité des courtiers et négociants et comprendre leur rôle dans le financement à court terme des marchés financiers.</w:t>
      </w:r>
    </w:p>
    <w:p w14:paraId="59618827" w14:textId="77777777" w:rsidR="00960021" w:rsidRDefault="00960021" w:rsidP="00960021"/>
    <w:p w14:paraId="5F0E8716" w14:textId="7998C815" w:rsidR="00960021" w:rsidRDefault="00B1271E" w:rsidP="00B1271E">
      <w:pPr>
        <w:pStyle w:val="ListParagraph"/>
        <w:numPr>
          <w:ilvl w:val="0"/>
          <w:numId w:val="7"/>
        </w:numPr>
      </w:pPr>
      <w:r w:rsidRPr="00B1271E">
        <w:rPr>
          <w:b/>
          <w:bCs/>
        </w:rPr>
        <w:t xml:space="preserve">Security Brokers and Dealers; Security </w:t>
      </w:r>
      <w:proofErr w:type="spellStart"/>
      <w:r w:rsidRPr="00B1271E">
        <w:rPr>
          <w:b/>
          <w:bCs/>
        </w:rPr>
        <w:t>Repurchase</w:t>
      </w:r>
      <w:proofErr w:type="spellEnd"/>
      <w:r w:rsidRPr="00B1271E">
        <w:rPr>
          <w:b/>
          <w:bCs/>
        </w:rPr>
        <w:t xml:space="preserve"> </w:t>
      </w:r>
      <w:proofErr w:type="spellStart"/>
      <w:r w:rsidRPr="00B1271E">
        <w:rPr>
          <w:b/>
          <w:bCs/>
        </w:rPr>
        <w:t>Agreements</w:t>
      </w:r>
      <w:proofErr w:type="spellEnd"/>
      <w:r w:rsidRPr="00B1271E">
        <w:rPr>
          <w:b/>
          <w:bCs/>
        </w:rPr>
        <w:t xml:space="preserve">; </w:t>
      </w:r>
      <w:proofErr w:type="spellStart"/>
      <w:r w:rsidRPr="00B1271E">
        <w:rPr>
          <w:b/>
          <w:bCs/>
        </w:rPr>
        <w:t>Liability</w:t>
      </w:r>
      <w:proofErr w:type="spellEnd"/>
      <w:r w:rsidRPr="00B1271E">
        <w:rPr>
          <w:b/>
          <w:bCs/>
        </w:rPr>
        <w:t xml:space="preserve">, </w:t>
      </w:r>
      <w:proofErr w:type="spellStart"/>
      <w:r w:rsidRPr="00B1271E">
        <w:rPr>
          <w:b/>
          <w:bCs/>
        </w:rPr>
        <w:t>Level</w:t>
      </w:r>
      <w:proofErr w:type="spellEnd"/>
      <w:r w:rsidR="003B71DE">
        <w:rPr>
          <w:b/>
          <w:bCs/>
        </w:rPr>
        <w:t xml:space="preserve"> </w:t>
      </w:r>
      <w:r w:rsidR="003B71DE" w:rsidRPr="003B71DE">
        <w:rPr>
          <w:b/>
          <w:bCs/>
        </w:rPr>
        <w:sym w:font="Wingdings" w:char="F0E0"/>
      </w:r>
      <w:r w:rsidR="003B71DE">
        <w:rPr>
          <w:b/>
          <w:bCs/>
        </w:rPr>
        <w:t xml:space="preserve"> </w:t>
      </w:r>
      <w:bookmarkStart w:id="2" w:name="_Hlk182761424"/>
      <w:r w:rsidR="003B71DE" w:rsidRPr="00302659">
        <w:rPr>
          <w:b/>
          <w:bCs/>
          <w:color w:val="FF0000"/>
        </w:rPr>
        <w:t>(Trimestrielle)</w:t>
      </w:r>
      <w:bookmarkEnd w:id="2"/>
      <w:r w:rsidRPr="00B1271E">
        <w:br/>
      </w:r>
      <w:r w:rsidRPr="00B1271E">
        <w:rPr>
          <w:b/>
          <w:bCs/>
        </w:rPr>
        <w:t>FRED Code</w:t>
      </w:r>
      <w:r w:rsidRPr="00B1271E">
        <w:t>: BOGZ1FL662151003Q</w:t>
      </w:r>
      <w:r w:rsidRPr="00B1271E">
        <w:br/>
      </w:r>
      <w:r w:rsidRPr="00B1271E">
        <w:rPr>
          <w:b/>
          <w:bCs/>
        </w:rPr>
        <w:t>Description</w:t>
      </w:r>
      <w:r w:rsidRPr="00B1271E">
        <w:t xml:space="preserve"> : Cette variable mesure le niveau des accords de rachat de titres en tant que passif des courtiers et négociants en valeurs mobilières. Les accords de rachat de titres (repos) sont des contrats où un courtier ou un négociant vend des titres avec l'accord de les racheter à une date ultérieure, généralement pour obtenir des financements à court terme. Cette série est importante pour évaluer la position de liquidité des courtiers et négociants et comprendre leur rôle dans le financement à court terme des marchés financiers.</w:t>
      </w:r>
    </w:p>
    <w:p w14:paraId="5E46BC4D" w14:textId="77777777" w:rsidR="003B71DE" w:rsidRPr="00D42CED" w:rsidRDefault="003B71DE" w:rsidP="00960021"/>
    <w:p w14:paraId="7777C435" w14:textId="6F02A862" w:rsidR="00280019" w:rsidRDefault="00280019" w:rsidP="00960021">
      <w:pPr>
        <w:pStyle w:val="Heading1"/>
      </w:pPr>
      <w:r w:rsidRPr="00D42CED">
        <w:lastRenderedPageBreak/>
        <w:t>Catégorie : Niveau d'Endettement du Secteur Privé</w:t>
      </w:r>
      <w:r w:rsidR="00305227">
        <w:t xml:space="preserve"> et </w:t>
      </w:r>
      <w:proofErr w:type="spellStart"/>
      <w:r w:rsidR="00305227">
        <w:t>Menages</w:t>
      </w:r>
      <w:proofErr w:type="spellEnd"/>
    </w:p>
    <w:p w14:paraId="3E4B9DA5" w14:textId="77777777" w:rsidR="000F0F09" w:rsidRPr="000F0F09" w:rsidRDefault="000F0F09" w:rsidP="000F0F09"/>
    <w:p w14:paraId="64F5037E" w14:textId="26E89645" w:rsidR="0065783B" w:rsidRDefault="000F0F09" w:rsidP="000F0F09">
      <w:pPr>
        <w:pStyle w:val="ListParagraph"/>
        <w:numPr>
          <w:ilvl w:val="0"/>
          <w:numId w:val="8"/>
        </w:numPr>
      </w:pPr>
      <w:r w:rsidRPr="000F0F09">
        <w:rPr>
          <w:b/>
          <w:bCs/>
        </w:rPr>
        <w:t xml:space="preserve">Domestic </w:t>
      </w:r>
      <w:proofErr w:type="spellStart"/>
      <w:r w:rsidRPr="000F0F09">
        <w:rPr>
          <w:b/>
          <w:bCs/>
        </w:rPr>
        <w:t>Nonfinancial</w:t>
      </w:r>
      <w:proofErr w:type="spellEnd"/>
      <w:r w:rsidRPr="000F0F09">
        <w:rPr>
          <w:b/>
          <w:bCs/>
        </w:rPr>
        <w:t xml:space="preserve"> </w:t>
      </w:r>
      <w:proofErr w:type="spellStart"/>
      <w:r w:rsidRPr="000F0F09">
        <w:rPr>
          <w:b/>
          <w:bCs/>
        </w:rPr>
        <w:t>Sectors</w:t>
      </w:r>
      <w:proofErr w:type="spellEnd"/>
      <w:r w:rsidRPr="000F0F09">
        <w:rPr>
          <w:b/>
          <w:bCs/>
        </w:rPr>
        <w:t xml:space="preserve">; </w:t>
      </w:r>
      <w:proofErr w:type="spellStart"/>
      <w:r w:rsidRPr="000F0F09">
        <w:rPr>
          <w:b/>
          <w:bCs/>
        </w:rPr>
        <w:t>Debt</w:t>
      </w:r>
      <w:proofErr w:type="spellEnd"/>
      <w:r w:rsidRPr="000F0F09">
        <w:rPr>
          <w:b/>
          <w:bCs/>
        </w:rPr>
        <w:t xml:space="preserve"> Securities and </w:t>
      </w:r>
      <w:proofErr w:type="spellStart"/>
      <w:r w:rsidRPr="000F0F09">
        <w:rPr>
          <w:b/>
          <w:bCs/>
        </w:rPr>
        <w:t>Loans</w:t>
      </w:r>
      <w:proofErr w:type="spellEnd"/>
      <w:r w:rsidRPr="000F0F09">
        <w:rPr>
          <w:b/>
          <w:bCs/>
        </w:rPr>
        <w:t xml:space="preserve">; </w:t>
      </w:r>
      <w:proofErr w:type="spellStart"/>
      <w:r w:rsidRPr="000F0F09">
        <w:rPr>
          <w:b/>
          <w:bCs/>
        </w:rPr>
        <w:t>Liability</w:t>
      </w:r>
      <w:proofErr w:type="spellEnd"/>
      <w:r w:rsidRPr="000F0F09">
        <w:rPr>
          <w:b/>
          <w:bCs/>
        </w:rPr>
        <w:t xml:space="preserve">, </w:t>
      </w:r>
      <w:proofErr w:type="spellStart"/>
      <w:r w:rsidRPr="000F0F09">
        <w:rPr>
          <w:b/>
          <w:bCs/>
        </w:rPr>
        <w:t>Level</w:t>
      </w:r>
      <w:proofErr w:type="spellEnd"/>
      <w:r w:rsidR="00C71386">
        <w:rPr>
          <w:b/>
          <w:bCs/>
        </w:rPr>
        <w:t xml:space="preserve"> </w:t>
      </w:r>
      <w:r w:rsidR="00C71386" w:rsidRPr="00C71386">
        <w:rPr>
          <w:b/>
          <w:bCs/>
        </w:rPr>
        <w:sym w:font="Wingdings" w:char="F0E0"/>
      </w:r>
      <w:r w:rsidR="00C71386" w:rsidRPr="00C71386">
        <w:rPr>
          <w:b/>
          <w:bCs/>
        </w:rPr>
        <w:t xml:space="preserve"> </w:t>
      </w:r>
      <w:r w:rsidR="00C71386" w:rsidRPr="00302659">
        <w:rPr>
          <w:b/>
          <w:bCs/>
          <w:color w:val="FF0000"/>
        </w:rPr>
        <w:t>(Trimestrielle)</w:t>
      </w:r>
      <w:r w:rsidRPr="000F0F09">
        <w:br/>
      </w:r>
      <w:r w:rsidRPr="000F0F09">
        <w:rPr>
          <w:b/>
          <w:bCs/>
        </w:rPr>
        <w:t>FRED Code</w:t>
      </w:r>
      <w:r w:rsidRPr="000F0F09">
        <w:t>: TCMDODNS</w:t>
      </w:r>
      <w:r w:rsidRPr="000F0F09">
        <w:br/>
      </w:r>
      <w:r w:rsidRPr="000F0F09">
        <w:rPr>
          <w:b/>
          <w:bCs/>
        </w:rPr>
        <w:t>Description</w:t>
      </w:r>
      <w:r w:rsidRPr="000F0F09">
        <w:t xml:space="preserve"> : Cette variable mesure le niveau des dettes sous forme de titres de créance et de prêts pour les secteurs non financiers domestiques. Elle permet d'évaluer l'endettement des entreprises et des ménages dans l'économie, un indicateur clé pour analyser la solvabilité et les pressions financières. L'évolution de cette série peut fournir des informations sur les tendances d'endettement dans les secteurs privés et leur impact sur la croissance économique.</w:t>
      </w:r>
    </w:p>
    <w:p w14:paraId="28F9D08A" w14:textId="77777777" w:rsidR="0065783B" w:rsidRDefault="0065783B" w:rsidP="0065783B"/>
    <w:p w14:paraId="36A95079" w14:textId="7F7C2BFE" w:rsidR="0065783B" w:rsidRDefault="000F0F09" w:rsidP="000F0F09">
      <w:pPr>
        <w:pStyle w:val="ListParagraph"/>
        <w:numPr>
          <w:ilvl w:val="0"/>
          <w:numId w:val="8"/>
        </w:numPr>
      </w:pPr>
      <w:proofErr w:type="spellStart"/>
      <w:r w:rsidRPr="000F0F09">
        <w:rPr>
          <w:b/>
          <w:bCs/>
        </w:rPr>
        <w:t>Households</w:t>
      </w:r>
      <w:proofErr w:type="spellEnd"/>
      <w:r w:rsidRPr="000F0F09">
        <w:rPr>
          <w:b/>
          <w:bCs/>
        </w:rPr>
        <w:t xml:space="preserve"> and </w:t>
      </w:r>
      <w:proofErr w:type="spellStart"/>
      <w:r w:rsidRPr="000F0F09">
        <w:rPr>
          <w:b/>
          <w:bCs/>
        </w:rPr>
        <w:t>Nonprofit</w:t>
      </w:r>
      <w:proofErr w:type="spellEnd"/>
      <w:r w:rsidRPr="000F0F09">
        <w:rPr>
          <w:b/>
          <w:bCs/>
        </w:rPr>
        <w:t xml:space="preserve"> Organizations; </w:t>
      </w:r>
      <w:proofErr w:type="spellStart"/>
      <w:r w:rsidRPr="000F0F09">
        <w:rPr>
          <w:b/>
          <w:bCs/>
        </w:rPr>
        <w:t>Debt</w:t>
      </w:r>
      <w:proofErr w:type="spellEnd"/>
      <w:r w:rsidRPr="000F0F09">
        <w:rPr>
          <w:b/>
          <w:bCs/>
        </w:rPr>
        <w:t xml:space="preserve"> Securities and </w:t>
      </w:r>
      <w:proofErr w:type="spellStart"/>
      <w:r w:rsidRPr="000F0F09">
        <w:rPr>
          <w:b/>
          <w:bCs/>
        </w:rPr>
        <w:t>Loans</w:t>
      </w:r>
      <w:proofErr w:type="spellEnd"/>
      <w:r w:rsidRPr="000F0F09">
        <w:rPr>
          <w:b/>
          <w:bCs/>
        </w:rPr>
        <w:t xml:space="preserve">; </w:t>
      </w:r>
      <w:proofErr w:type="spellStart"/>
      <w:r w:rsidRPr="000F0F09">
        <w:rPr>
          <w:b/>
          <w:bCs/>
        </w:rPr>
        <w:t>Liability</w:t>
      </w:r>
      <w:proofErr w:type="spellEnd"/>
      <w:r w:rsidRPr="000F0F09">
        <w:rPr>
          <w:b/>
          <w:bCs/>
        </w:rPr>
        <w:t xml:space="preserve">, </w:t>
      </w:r>
      <w:proofErr w:type="spellStart"/>
      <w:r w:rsidRPr="000F0F09">
        <w:rPr>
          <w:b/>
          <w:bCs/>
        </w:rPr>
        <w:t>Level</w:t>
      </w:r>
      <w:proofErr w:type="spellEnd"/>
      <w:r w:rsidR="00C71386">
        <w:rPr>
          <w:b/>
          <w:bCs/>
        </w:rPr>
        <w:t xml:space="preserve"> </w:t>
      </w:r>
      <w:r w:rsidR="00C71386" w:rsidRPr="00C71386">
        <w:rPr>
          <w:b/>
          <w:bCs/>
        </w:rPr>
        <w:sym w:font="Wingdings" w:char="F0E0"/>
      </w:r>
      <w:r w:rsidR="00C71386">
        <w:rPr>
          <w:b/>
          <w:bCs/>
        </w:rPr>
        <w:t xml:space="preserve"> </w:t>
      </w:r>
      <w:r w:rsidR="00C71386" w:rsidRPr="00302659">
        <w:rPr>
          <w:b/>
          <w:bCs/>
          <w:color w:val="FF0000"/>
        </w:rPr>
        <w:t>(Trimestrielle)</w:t>
      </w:r>
      <w:r w:rsidRPr="000F0F09">
        <w:br/>
      </w:r>
      <w:r w:rsidRPr="000F0F09">
        <w:rPr>
          <w:b/>
          <w:bCs/>
        </w:rPr>
        <w:t>FRED Code</w:t>
      </w:r>
      <w:r w:rsidRPr="000F0F09">
        <w:t>: CMDEBT</w:t>
      </w:r>
      <w:r w:rsidRPr="000F0F09">
        <w:br/>
      </w:r>
      <w:r w:rsidRPr="000F0F09">
        <w:rPr>
          <w:b/>
          <w:bCs/>
        </w:rPr>
        <w:t>Description</w:t>
      </w:r>
      <w:r w:rsidRPr="000F0F09">
        <w:t xml:space="preserve"> : Cette variable mesure le niveau des dettes sous forme de titres de créance et de prêts pour les ménages et les organisations à but non lucratif. Elle fournit une indication sur l'endettement de ces secteurs, permettant d'évaluer la pression financière exercée sur eux et leur capacité à gérer les obligations financières. L'évolution de cette variable est utile pour analyser la stabilité financière des ménages et des organisations non lucratives dans l'économie.</w:t>
      </w:r>
    </w:p>
    <w:p w14:paraId="2794DAF8" w14:textId="77777777" w:rsidR="0065783B" w:rsidRDefault="0065783B" w:rsidP="0065783B"/>
    <w:p w14:paraId="024F40AC" w14:textId="15052886" w:rsidR="0065783B" w:rsidRDefault="000F0F09" w:rsidP="000F0F09">
      <w:pPr>
        <w:pStyle w:val="ListParagraph"/>
        <w:numPr>
          <w:ilvl w:val="0"/>
          <w:numId w:val="8"/>
        </w:numPr>
      </w:pPr>
      <w:proofErr w:type="spellStart"/>
      <w:r w:rsidRPr="000F0F09">
        <w:rPr>
          <w:b/>
          <w:bCs/>
        </w:rPr>
        <w:t>Households</w:t>
      </w:r>
      <w:proofErr w:type="spellEnd"/>
      <w:r w:rsidRPr="000F0F09">
        <w:rPr>
          <w:b/>
          <w:bCs/>
        </w:rPr>
        <w:t xml:space="preserve"> and </w:t>
      </w:r>
      <w:proofErr w:type="spellStart"/>
      <w:r w:rsidRPr="000F0F09">
        <w:rPr>
          <w:b/>
          <w:bCs/>
        </w:rPr>
        <w:t>Nonprofit</w:t>
      </w:r>
      <w:proofErr w:type="spellEnd"/>
      <w:r w:rsidRPr="000F0F09">
        <w:rPr>
          <w:b/>
          <w:bCs/>
        </w:rPr>
        <w:t xml:space="preserve"> Organizations; </w:t>
      </w:r>
      <w:proofErr w:type="spellStart"/>
      <w:r w:rsidRPr="000F0F09">
        <w:rPr>
          <w:b/>
          <w:bCs/>
        </w:rPr>
        <w:t>Debt</w:t>
      </w:r>
      <w:proofErr w:type="spellEnd"/>
      <w:r w:rsidRPr="000F0F09">
        <w:rPr>
          <w:b/>
          <w:bCs/>
        </w:rPr>
        <w:t xml:space="preserve"> Securities and </w:t>
      </w:r>
      <w:proofErr w:type="spellStart"/>
      <w:r w:rsidRPr="000F0F09">
        <w:rPr>
          <w:b/>
          <w:bCs/>
        </w:rPr>
        <w:t>Loans</w:t>
      </w:r>
      <w:proofErr w:type="spellEnd"/>
      <w:r w:rsidRPr="000F0F09">
        <w:rPr>
          <w:b/>
          <w:bCs/>
        </w:rPr>
        <w:t xml:space="preserve">; </w:t>
      </w:r>
      <w:proofErr w:type="spellStart"/>
      <w:r w:rsidRPr="000F0F09">
        <w:rPr>
          <w:b/>
          <w:bCs/>
        </w:rPr>
        <w:t>Liability</w:t>
      </w:r>
      <w:proofErr w:type="spellEnd"/>
      <w:r w:rsidRPr="000F0F09">
        <w:rPr>
          <w:b/>
          <w:bCs/>
        </w:rPr>
        <w:t xml:space="preserve">, </w:t>
      </w:r>
      <w:proofErr w:type="spellStart"/>
      <w:r w:rsidRPr="000F0F09">
        <w:rPr>
          <w:b/>
          <w:bCs/>
        </w:rPr>
        <w:t>Level</w:t>
      </w:r>
      <w:proofErr w:type="spellEnd"/>
      <w:r w:rsidR="00C71386">
        <w:rPr>
          <w:b/>
          <w:bCs/>
        </w:rPr>
        <w:t xml:space="preserve"> </w:t>
      </w:r>
      <w:r w:rsidR="00C71386" w:rsidRPr="00C71386">
        <w:rPr>
          <w:b/>
          <w:bCs/>
        </w:rPr>
        <w:sym w:font="Wingdings" w:char="F0E0"/>
      </w:r>
      <w:r w:rsidR="00C71386">
        <w:rPr>
          <w:b/>
          <w:bCs/>
        </w:rPr>
        <w:t xml:space="preserve"> </w:t>
      </w:r>
      <w:r w:rsidR="00C71386" w:rsidRPr="00302659">
        <w:rPr>
          <w:b/>
          <w:bCs/>
          <w:color w:val="FF0000"/>
        </w:rPr>
        <w:t>(Trimestrielle)</w:t>
      </w:r>
      <w:r w:rsidRPr="000F0F09">
        <w:br/>
      </w:r>
      <w:r w:rsidRPr="000F0F09">
        <w:rPr>
          <w:b/>
          <w:bCs/>
        </w:rPr>
        <w:t>FRED Code</w:t>
      </w:r>
      <w:r w:rsidRPr="000F0F09">
        <w:t>: CMDEBT</w:t>
      </w:r>
      <w:r w:rsidRPr="000F0F09">
        <w:br/>
      </w:r>
      <w:r w:rsidRPr="000F0F09">
        <w:rPr>
          <w:b/>
          <w:bCs/>
        </w:rPr>
        <w:t>Description</w:t>
      </w:r>
      <w:r w:rsidRPr="000F0F09">
        <w:t xml:space="preserve"> : Cette variable mesure le niveau des dettes sous forme de titres de créance et de prêts pour les ménages et les organisations à but non lucratif. Elle fournit une indication sur l'endettement de ces secteurs, permettant d'évaluer la pression financière exercée sur eux et leur capacité à gérer les obligations financières. L'évolution de cette variable est utile pour analyser la stabilité financière des ménages et des organisations non lucratives dans l'économie.</w:t>
      </w:r>
    </w:p>
    <w:p w14:paraId="3F72D15D" w14:textId="77777777" w:rsidR="0065783B" w:rsidRDefault="0065783B" w:rsidP="0065783B"/>
    <w:p w14:paraId="702940D0" w14:textId="766F86DD" w:rsidR="0065783B" w:rsidRDefault="00C402C7" w:rsidP="00C402C7">
      <w:pPr>
        <w:pStyle w:val="ListParagraph"/>
        <w:numPr>
          <w:ilvl w:val="0"/>
          <w:numId w:val="8"/>
        </w:numPr>
      </w:pPr>
      <w:proofErr w:type="spellStart"/>
      <w:r w:rsidRPr="00C402C7">
        <w:rPr>
          <w:b/>
          <w:bCs/>
        </w:rPr>
        <w:t>Households</w:t>
      </w:r>
      <w:proofErr w:type="spellEnd"/>
      <w:r w:rsidRPr="00C402C7">
        <w:rPr>
          <w:b/>
          <w:bCs/>
        </w:rPr>
        <w:t xml:space="preserve"> and </w:t>
      </w:r>
      <w:proofErr w:type="spellStart"/>
      <w:r w:rsidRPr="00C402C7">
        <w:rPr>
          <w:b/>
          <w:bCs/>
        </w:rPr>
        <w:t>Nonprofit</w:t>
      </w:r>
      <w:proofErr w:type="spellEnd"/>
      <w:r w:rsidRPr="00C402C7">
        <w:rPr>
          <w:b/>
          <w:bCs/>
        </w:rPr>
        <w:t xml:space="preserve"> Organizations; </w:t>
      </w:r>
      <w:proofErr w:type="spellStart"/>
      <w:r w:rsidRPr="00C402C7">
        <w:rPr>
          <w:b/>
          <w:bCs/>
        </w:rPr>
        <w:t>Debt</w:t>
      </w:r>
      <w:proofErr w:type="spellEnd"/>
      <w:r w:rsidRPr="00C402C7">
        <w:rPr>
          <w:b/>
          <w:bCs/>
        </w:rPr>
        <w:t xml:space="preserve"> Securities and </w:t>
      </w:r>
      <w:proofErr w:type="spellStart"/>
      <w:r w:rsidRPr="00C402C7">
        <w:rPr>
          <w:b/>
          <w:bCs/>
        </w:rPr>
        <w:t>Loans</w:t>
      </w:r>
      <w:proofErr w:type="spellEnd"/>
      <w:r w:rsidRPr="00C402C7">
        <w:rPr>
          <w:b/>
          <w:bCs/>
        </w:rPr>
        <w:t xml:space="preserve">; </w:t>
      </w:r>
      <w:proofErr w:type="spellStart"/>
      <w:r w:rsidRPr="00C402C7">
        <w:rPr>
          <w:b/>
          <w:bCs/>
        </w:rPr>
        <w:t>Liability</w:t>
      </w:r>
      <w:proofErr w:type="spellEnd"/>
      <w:r w:rsidRPr="00C402C7">
        <w:rPr>
          <w:b/>
          <w:bCs/>
        </w:rPr>
        <w:t xml:space="preserve">, </w:t>
      </w:r>
      <w:proofErr w:type="spellStart"/>
      <w:r w:rsidRPr="00C402C7">
        <w:rPr>
          <w:b/>
          <w:bCs/>
        </w:rPr>
        <w:t>Growth</w:t>
      </w:r>
      <w:proofErr w:type="spellEnd"/>
      <w:r w:rsidRPr="00C402C7">
        <w:rPr>
          <w:b/>
          <w:bCs/>
        </w:rPr>
        <w:t xml:space="preserve"> Rate</w:t>
      </w:r>
      <w:r w:rsidR="00C71386">
        <w:rPr>
          <w:b/>
          <w:bCs/>
        </w:rPr>
        <w:t xml:space="preserve"> </w:t>
      </w:r>
      <w:r w:rsidR="00C71386" w:rsidRPr="00C71386">
        <w:rPr>
          <w:b/>
          <w:bCs/>
        </w:rPr>
        <w:sym w:font="Wingdings" w:char="F0E0"/>
      </w:r>
      <w:r w:rsidR="00C71386">
        <w:rPr>
          <w:b/>
          <w:bCs/>
        </w:rPr>
        <w:t xml:space="preserve"> </w:t>
      </w:r>
      <w:r w:rsidR="00C71386" w:rsidRPr="00302659">
        <w:rPr>
          <w:b/>
          <w:bCs/>
          <w:color w:val="FF0000"/>
        </w:rPr>
        <w:t>(Trimestrielle)</w:t>
      </w:r>
      <w:r w:rsidRPr="00C402C7">
        <w:br/>
      </w:r>
      <w:r w:rsidRPr="00C402C7">
        <w:rPr>
          <w:b/>
          <w:bCs/>
        </w:rPr>
        <w:t>FRED Code</w:t>
      </w:r>
      <w:r w:rsidRPr="00C402C7">
        <w:t>: BOGZ1FG154104005Q</w:t>
      </w:r>
      <w:r w:rsidRPr="00C402C7">
        <w:br/>
      </w:r>
      <w:r w:rsidRPr="00C402C7">
        <w:rPr>
          <w:b/>
          <w:bCs/>
        </w:rPr>
        <w:t>Description</w:t>
      </w:r>
      <w:r w:rsidRPr="00C402C7">
        <w:t xml:space="preserve"> : Cette variable mesure le taux de croissance des dettes sous forme de titres de créance et de prêts pour les ménages et les organisations à but non lucratif. Elle permet d'évaluer l'augmentation de l'endettement au sein de ces secteurs, offrant des informations cruciales pour comprendre les tendances financières et les risques liés à l'accumulation de dettes. Un taux de croissance élevé peut suggérer des pressions financières croissantes, tandis qu'un taux faible peut indiquer une réduction de l'endettement ou une stabilisation.</w:t>
      </w:r>
    </w:p>
    <w:p w14:paraId="4DDC08B5" w14:textId="77777777" w:rsidR="0065783B" w:rsidRDefault="0065783B" w:rsidP="0065783B"/>
    <w:p w14:paraId="742F4B8B" w14:textId="77777777" w:rsidR="0065783B" w:rsidRDefault="0065783B" w:rsidP="0065783B"/>
    <w:p w14:paraId="10EF73DE" w14:textId="74718E88" w:rsidR="0065783B" w:rsidRDefault="00BC1970" w:rsidP="00BC1970">
      <w:pPr>
        <w:pStyle w:val="ListParagraph"/>
        <w:numPr>
          <w:ilvl w:val="0"/>
          <w:numId w:val="8"/>
        </w:numPr>
      </w:pPr>
      <w:proofErr w:type="spellStart"/>
      <w:r w:rsidRPr="00C71386">
        <w:rPr>
          <w:b/>
          <w:bCs/>
        </w:rPr>
        <w:t>Households</w:t>
      </w:r>
      <w:proofErr w:type="spellEnd"/>
      <w:r w:rsidRPr="00C71386">
        <w:rPr>
          <w:b/>
          <w:bCs/>
        </w:rPr>
        <w:t xml:space="preserve"> and </w:t>
      </w:r>
      <w:proofErr w:type="spellStart"/>
      <w:r w:rsidRPr="00C71386">
        <w:rPr>
          <w:b/>
          <w:bCs/>
        </w:rPr>
        <w:t>Nonprofit</w:t>
      </w:r>
      <w:proofErr w:type="spellEnd"/>
      <w:r w:rsidRPr="00C71386">
        <w:rPr>
          <w:b/>
          <w:bCs/>
        </w:rPr>
        <w:t xml:space="preserve"> Organizations; One-to-Four-Family </w:t>
      </w:r>
      <w:proofErr w:type="spellStart"/>
      <w:r w:rsidRPr="00C71386">
        <w:rPr>
          <w:b/>
          <w:bCs/>
        </w:rPr>
        <w:t>Residential</w:t>
      </w:r>
      <w:proofErr w:type="spellEnd"/>
      <w:r w:rsidRPr="00C71386">
        <w:rPr>
          <w:b/>
          <w:bCs/>
        </w:rPr>
        <w:t xml:space="preserve"> </w:t>
      </w:r>
      <w:proofErr w:type="spellStart"/>
      <w:r w:rsidRPr="00C71386">
        <w:rPr>
          <w:b/>
          <w:bCs/>
        </w:rPr>
        <w:t>Mortgages</w:t>
      </w:r>
      <w:proofErr w:type="spellEnd"/>
      <w:r w:rsidRPr="00C71386">
        <w:rPr>
          <w:b/>
          <w:bCs/>
        </w:rPr>
        <w:t xml:space="preserve">; </w:t>
      </w:r>
      <w:proofErr w:type="spellStart"/>
      <w:r w:rsidRPr="00C71386">
        <w:rPr>
          <w:b/>
          <w:bCs/>
        </w:rPr>
        <w:t>Liability</w:t>
      </w:r>
      <w:proofErr w:type="spellEnd"/>
      <w:r w:rsidRPr="00C71386">
        <w:rPr>
          <w:b/>
          <w:bCs/>
        </w:rPr>
        <w:t xml:space="preserve">, </w:t>
      </w:r>
      <w:proofErr w:type="spellStart"/>
      <w:r w:rsidRPr="00C71386">
        <w:rPr>
          <w:b/>
          <w:bCs/>
        </w:rPr>
        <w:t>Level</w:t>
      </w:r>
      <w:proofErr w:type="spellEnd"/>
      <w:r w:rsidR="00C71386" w:rsidRPr="00C71386">
        <w:rPr>
          <w:b/>
          <w:bCs/>
        </w:rPr>
        <w:t xml:space="preserve"> </w:t>
      </w:r>
      <w:r w:rsidR="00C71386" w:rsidRPr="00C71386">
        <w:rPr>
          <w:b/>
          <w:bCs/>
          <w:lang w:val="en-CA"/>
        </w:rPr>
        <w:sym w:font="Wingdings" w:char="F0E0"/>
      </w:r>
      <w:r w:rsidR="00C71386" w:rsidRPr="00C71386">
        <w:rPr>
          <w:b/>
          <w:bCs/>
        </w:rPr>
        <w:t xml:space="preserve"> </w:t>
      </w:r>
      <w:bookmarkStart w:id="3" w:name="_Hlk182761615"/>
      <w:r w:rsidR="00C71386" w:rsidRPr="00302659">
        <w:rPr>
          <w:b/>
          <w:bCs/>
          <w:color w:val="FF0000"/>
        </w:rPr>
        <w:t>(Trimestrielle)</w:t>
      </w:r>
      <w:bookmarkEnd w:id="3"/>
      <w:r w:rsidRPr="00C71386">
        <w:br/>
      </w:r>
      <w:r w:rsidRPr="00BC1970">
        <w:rPr>
          <w:b/>
          <w:bCs/>
        </w:rPr>
        <w:t>FRED Code</w:t>
      </w:r>
      <w:r w:rsidRPr="00BC1970">
        <w:t>: HHMSDODNS</w:t>
      </w:r>
      <w:r w:rsidRPr="00BC1970">
        <w:br/>
      </w:r>
      <w:r w:rsidRPr="00BC1970">
        <w:rPr>
          <w:b/>
          <w:bCs/>
        </w:rPr>
        <w:t>Description</w:t>
      </w:r>
      <w:r w:rsidRPr="00BC1970">
        <w:t xml:space="preserve"> : Cette variable mesure le niveau des dettes liées aux hypothèques résidentielles à une à quatre familles pour les ménages et les organisations à but non lucratif. Elle offre un aperçu de l'endettement des ménages dans le secteur immobilier, ce qui est crucial pour évaluer la santé financière des ménages et leur capacité à faire face aux paiements hypothécaires. L'évolution de cette variable peut également fournir des informations sur les tendances du marché immobilier et les pressions sur l'endettement immobilier des ménages.</w:t>
      </w:r>
    </w:p>
    <w:p w14:paraId="2FDD2BC3" w14:textId="77777777" w:rsidR="00C71386" w:rsidRDefault="00C71386" w:rsidP="00C71386"/>
    <w:p w14:paraId="3131C121" w14:textId="6B44C9BC" w:rsidR="0065783B" w:rsidRDefault="00C71386" w:rsidP="00C71386">
      <w:pPr>
        <w:pStyle w:val="ListParagraph"/>
        <w:numPr>
          <w:ilvl w:val="0"/>
          <w:numId w:val="8"/>
        </w:numPr>
      </w:pPr>
      <w:proofErr w:type="spellStart"/>
      <w:r w:rsidRPr="00C71386">
        <w:rPr>
          <w:b/>
          <w:bCs/>
        </w:rPr>
        <w:t>Households</w:t>
      </w:r>
      <w:proofErr w:type="spellEnd"/>
      <w:r w:rsidRPr="00C71386">
        <w:rPr>
          <w:b/>
          <w:bCs/>
        </w:rPr>
        <w:t xml:space="preserve"> and </w:t>
      </w:r>
      <w:proofErr w:type="spellStart"/>
      <w:r w:rsidRPr="00C71386">
        <w:rPr>
          <w:b/>
          <w:bCs/>
        </w:rPr>
        <w:t>Nonprofit</w:t>
      </w:r>
      <w:proofErr w:type="spellEnd"/>
      <w:r w:rsidRPr="00C71386">
        <w:rPr>
          <w:b/>
          <w:bCs/>
        </w:rPr>
        <w:t xml:space="preserve"> Organizations; </w:t>
      </w:r>
      <w:proofErr w:type="spellStart"/>
      <w:r w:rsidRPr="00C71386">
        <w:rPr>
          <w:b/>
          <w:bCs/>
        </w:rPr>
        <w:t>Debt</w:t>
      </w:r>
      <w:proofErr w:type="spellEnd"/>
      <w:r w:rsidRPr="00C71386">
        <w:rPr>
          <w:b/>
          <w:bCs/>
        </w:rPr>
        <w:t xml:space="preserve"> Securities and </w:t>
      </w:r>
      <w:proofErr w:type="spellStart"/>
      <w:r w:rsidRPr="00C71386">
        <w:rPr>
          <w:b/>
          <w:bCs/>
        </w:rPr>
        <w:t>Loans</w:t>
      </w:r>
      <w:proofErr w:type="spellEnd"/>
      <w:r w:rsidRPr="00C71386">
        <w:rPr>
          <w:b/>
          <w:bCs/>
        </w:rPr>
        <w:t xml:space="preserve"> </w:t>
      </w:r>
      <w:proofErr w:type="spellStart"/>
      <w:r w:rsidRPr="00C71386">
        <w:rPr>
          <w:b/>
          <w:bCs/>
        </w:rPr>
        <w:t>Excluding</w:t>
      </w:r>
      <w:proofErr w:type="spellEnd"/>
      <w:r w:rsidRPr="00C71386">
        <w:rPr>
          <w:b/>
          <w:bCs/>
        </w:rPr>
        <w:t xml:space="preserve"> One-to-Four-Family </w:t>
      </w:r>
      <w:proofErr w:type="spellStart"/>
      <w:r w:rsidRPr="00C71386">
        <w:rPr>
          <w:b/>
          <w:bCs/>
        </w:rPr>
        <w:t>Residential</w:t>
      </w:r>
      <w:proofErr w:type="spellEnd"/>
      <w:r w:rsidRPr="00C71386">
        <w:rPr>
          <w:b/>
          <w:bCs/>
        </w:rPr>
        <w:t xml:space="preserve"> </w:t>
      </w:r>
      <w:proofErr w:type="spellStart"/>
      <w:r w:rsidRPr="00C71386">
        <w:rPr>
          <w:b/>
          <w:bCs/>
        </w:rPr>
        <w:t>Mortgages</w:t>
      </w:r>
      <w:proofErr w:type="spellEnd"/>
      <w:r w:rsidRPr="00C71386">
        <w:rPr>
          <w:b/>
          <w:bCs/>
        </w:rPr>
        <w:t xml:space="preserve"> and Consumer </w:t>
      </w:r>
      <w:proofErr w:type="spellStart"/>
      <w:r w:rsidRPr="00C71386">
        <w:rPr>
          <w:b/>
          <w:bCs/>
        </w:rPr>
        <w:t>Credit</w:t>
      </w:r>
      <w:proofErr w:type="spellEnd"/>
      <w:r w:rsidRPr="00C71386">
        <w:rPr>
          <w:b/>
          <w:bCs/>
        </w:rPr>
        <w:t xml:space="preserve">; </w:t>
      </w:r>
      <w:proofErr w:type="spellStart"/>
      <w:r w:rsidRPr="00C71386">
        <w:rPr>
          <w:b/>
          <w:bCs/>
        </w:rPr>
        <w:t>Liability</w:t>
      </w:r>
      <w:proofErr w:type="spellEnd"/>
      <w:r w:rsidRPr="00C71386">
        <w:rPr>
          <w:b/>
          <w:bCs/>
        </w:rPr>
        <w:t xml:space="preserve">, </w:t>
      </w:r>
      <w:proofErr w:type="spellStart"/>
      <w:r w:rsidRPr="00C71386">
        <w:rPr>
          <w:b/>
          <w:bCs/>
        </w:rPr>
        <w:t>Level</w:t>
      </w:r>
      <w:proofErr w:type="spellEnd"/>
      <w:r>
        <w:rPr>
          <w:b/>
          <w:bCs/>
        </w:rPr>
        <w:t xml:space="preserve"> </w:t>
      </w:r>
      <w:r w:rsidRPr="00C71386">
        <w:rPr>
          <w:b/>
          <w:bCs/>
        </w:rPr>
        <w:sym w:font="Wingdings" w:char="F0E0"/>
      </w:r>
      <w:r>
        <w:rPr>
          <w:b/>
          <w:bCs/>
        </w:rPr>
        <w:t xml:space="preserve"> </w:t>
      </w:r>
      <w:r w:rsidRPr="00302659">
        <w:rPr>
          <w:b/>
          <w:bCs/>
          <w:color w:val="FF0000"/>
        </w:rPr>
        <w:t>(Trimestrielle)</w:t>
      </w:r>
      <w:r w:rsidRPr="00C71386">
        <w:br/>
      </w:r>
      <w:r w:rsidRPr="00C71386">
        <w:rPr>
          <w:b/>
          <w:bCs/>
        </w:rPr>
        <w:t>FRED Code</w:t>
      </w:r>
      <w:r w:rsidRPr="00C71386">
        <w:t>: BOGZ1FL154104905Q</w:t>
      </w:r>
      <w:r w:rsidRPr="00C71386">
        <w:br/>
      </w:r>
      <w:r w:rsidRPr="00C71386">
        <w:rPr>
          <w:b/>
          <w:bCs/>
        </w:rPr>
        <w:t>Description</w:t>
      </w:r>
      <w:r w:rsidRPr="00C71386">
        <w:t xml:space="preserve"> : Cette variable mesure le niveau des dettes sous forme de titres de créance et de prêts des ménages et des organisations à but non lucratif, à l'exclusion des hypothèques résidentielles d'une à quatre familles et du crédit à la consommation. Elle fournit une vision plus précise de l'endettement lié à des formes de financement autres que les prêts hypothécaires et le crédit à la consommation, permettant ainsi d'analyser les tendances de l'endettement dans d'autres secteurs de la finance des ménages.</w:t>
      </w:r>
    </w:p>
    <w:p w14:paraId="75F0D444" w14:textId="77777777" w:rsidR="00577852" w:rsidRDefault="00577852" w:rsidP="0065783B"/>
    <w:p w14:paraId="6FE57817" w14:textId="72FE08F9" w:rsidR="0065783B" w:rsidRDefault="006569F7" w:rsidP="006569F7">
      <w:pPr>
        <w:pStyle w:val="ListParagraph"/>
        <w:numPr>
          <w:ilvl w:val="0"/>
          <w:numId w:val="8"/>
        </w:numPr>
      </w:pPr>
      <w:proofErr w:type="spellStart"/>
      <w:r w:rsidRPr="006569F7">
        <w:rPr>
          <w:b/>
          <w:bCs/>
        </w:rPr>
        <w:t>Households</w:t>
      </w:r>
      <w:proofErr w:type="spellEnd"/>
      <w:r w:rsidRPr="006569F7">
        <w:rPr>
          <w:b/>
          <w:bCs/>
        </w:rPr>
        <w:t xml:space="preserve"> and </w:t>
      </w:r>
      <w:proofErr w:type="spellStart"/>
      <w:r w:rsidRPr="006569F7">
        <w:rPr>
          <w:b/>
          <w:bCs/>
        </w:rPr>
        <w:t>Nonprofit</w:t>
      </w:r>
      <w:proofErr w:type="spellEnd"/>
      <w:r w:rsidRPr="006569F7">
        <w:rPr>
          <w:b/>
          <w:bCs/>
        </w:rPr>
        <w:t xml:space="preserve"> Organizations; Consumer </w:t>
      </w:r>
      <w:proofErr w:type="spellStart"/>
      <w:r w:rsidRPr="006569F7">
        <w:rPr>
          <w:b/>
          <w:bCs/>
        </w:rPr>
        <w:t>Credit</w:t>
      </w:r>
      <w:proofErr w:type="spellEnd"/>
      <w:r w:rsidRPr="006569F7">
        <w:rPr>
          <w:b/>
          <w:bCs/>
        </w:rPr>
        <w:t xml:space="preserve">; </w:t>
      </w:r>
      <w:proofErr w:type="spellStart"/>
      <w:r w:rsidRPr="006569F7">
        <w:rPr>
          <w:b/>
          <w:bCs/>
        </w:rPr>
        <w:t>Liability</w:t>
      </w:r>
      <w:proofErr w:type="spellEnd"/>
      <w:r w:rsidRPr="006569F7">
        <w:rPr>
          <w:b/>
          <w:bCs/>
        </w:rPr>
        <w:t xml:space="preserve">, </w:t>
      </w:r>
      <w:proofErr w:type="spellStart"/>
      <w:r w:rsidRPr="006569F7">
        <w:rPr>
          <w:b/>
          <w:bCs/>
        </w:rPr>
        <w:t>Level</w:t>
      </w:r>
      <w:proofErr w:type="spellEnd"/>
      <w:r w:rsidR="00C71386">
        <w:rPr>
          <w:b/>
          <w:bCs/>
        </w:rPr>
        <w:t xml:space="preserve"> </w:t>
      </w:r>
      <w:r w:rsidR="00C71386" w:rsidRPr="00C71386">
        <w:rPr>
          <w:b/>
          <w:bCs/>
        </w:rPr>
        <w:sym w:font="Wingdings" w:char="F0E0"/>
      </w:r>
      <w:r w:rsidR="00C71386">
        <w:rPr>
          <w:b/>
          <w:bCs/>
        </w:rPr>
        <w:t xml:space="preserve"> </w:t>
      </w:r>
      <w:r w:rsidR="00C71386" w:rsidRPr="00302659">
        <w:rPr>
          <w:b/>
          <w:bCs/>
          <w:color w:val="FF0000"/>
        </w:rPr>
        <w:t>(Trimestrielle)</w:t>
      </w:r>
      <w:r w:rsidRPr="006569F7">
        <w:br/>
      </w:r>
      <w:r w:rsidRPr="006569F7">
        <w:rPr>
          <w:b/>
          <w:bCs/>
        </w:rPr>
        <w:t>FRED Code</w:t>
      </w:r>
      <w:r w:rsidRPr="006569F7">
        <w:t>: HCCSDODNS</w:t>
      </w:r>
      <w:r w:rsidRPr="006569F7">
        <w:br/>
      </w:r>
      <w:r w:rsidRPr="006569F7">
        <w:rPr>
          <w:b/>
          <w:bCs/>
        </w:rPr>
        <w:t>Description</w:t>
      </w:r>
      <w:r w:rsidRPr="006569F7">
        <w:t xml:space="preserve"> : Cette variable mesure le niveau des dettes de consommation des ménages et des organisations à but non lucratif. Elle reflète l'endettement des consommateurs pour des crédits à la consommation, tels que les prêts personnels, les cartes de crédit et les prêts auto. Suivre cette variable est essentiel pour évaluer la capacité des ménages à rembourser leurs dettes de consommation, ainsi que pour identifier les pressions économiques qui peuvent affecter la stabilité financière des consommateurs.</w:t>
      </w:r>
    </w:p>
    <w:p w14:paraId="30B9E3CE" w14:textId="77777777" w:rsidR="002525D7" w:rsidRDefault="002525D7" w:rsidP="002525D7"/>
    <w:p w14:paraId="2AF96215" w14:textId="4D66BCDA" w:rsidR="0065783B" w:rsidRDefault="002525D7" w:rsidP="002525D7">
      <w:pPr>
        <w:pStyle w:val="ListParagraph"/>
        <w:numPr>
          <w:ilvl w:val="0"/>
          <w:numId w:val="8"/>
        </w:numPr>
      </w:pPr>
      <w:proofErr w:type="spellStart"/>
      <w:r w:rsidRPr="002525D7">
        <w:rPr>
          <w:b/>
          <w:bCs/>
        </w:rPr>
        <w:t>Nonfinancial</w:t>
      </w:r>
      <w:proofErr w:type="spellEnd"/>
      <w:r w:rsidRPr="002525D7">
        <w:rPr>
          <w:b/>
          <w:bCs/>
        </w:rPr>
        <w:t xml:space="preserve"> </w:t>
      </w:r>
      <w:proofErr w:type="spellStart"/>
      <w:r w:rsidRPr="002525D7">
        <w:rPr>
          <w:b/>
          <w:bCs/>
        </w:rPr>
        <w:t>Corporate</w:t>
      </w:r>
      <w:proofErr w:type="spellEnd"/>
      <w:r w:rsidRPr="002525D7">
        <w:rPr>
          <w:b/>
          <w:bCs/>
        </w:rPr>
        <w:t xml:space="preserve"> Business; </w:t>
      </w:r>
      <w:proofErr w:type="spellStart"/>
      <w:r w:rsidRPr="002525D7">
        <w:rPr>
          <w:b/>
          <w:bCs/>
        </w:rPr>
        <w:t>Debt</w:t>
      </w:r>
      <w:proofErr w:type="spellEnd"/>
      <w:r w:rsidRPr="002525D7">
        <w:rPr>
          <w:b/>
          <w:bCs/>
        </w:rPr>
        <w:t xml:space="preserve"> Securities and </w:t>
      </w:r>
      <w:proofErr w:type="spellStart"/>
      <w:r w:rsidRPr="002525D7">
        <w:rPr>
          <w:b/>
          <w:bCs/>
        </w:rPr>
        <w:t>Loans</w:t>
      </w:r>
      <w:proofErr w:type="spellEnd"/>
      <w:r w:rsidRPr="002525D7">
        <w:rPr>
          <w:b/>
          <w:bCs/>
        </w:rPr>
        <w:t xml:space="preserve">; </w:t>
      </w:r>
      <w:proofErr w:type="spellStart"/>
      <w:r w:rsidRPr="002525D7">
        <w:rPr>
          <w:b/>
          <w:bCs/>
        </w:rPr>
        <w:t>Liability</w:t>
      </w:r>
      <w:proofErr w:type="spellEnd"/>
      <w:r w:rsidRPr="002525D7">
        <w:rPr>
          <w:b/>
          <w:bCs/>
        </w:rPr>
        <w:t xml:space="preserve">, </w:t>
      </w:r>
      <w:proofErr w:type="spellStart"/>
      <w:r w:rsidRPr="002525D7">
        <w:rPr>
          <w:b/>
          <w:bCs/>
        </w:rPr>
        <w:t>Level</w:t>
      </w:r>
      <w:proofErr w:type="spellEnd"/>
      <w:r w:rsidR="00C71386">
        <w:rPr>
          <w:b/>
          <w:bCs/>
        </w:rPr>
        <w:t xml:space="preserve"> </w:t>
      </w:r>
      <w:r w:rsidR="00C71386" w:rsidRPr="00C71386">
        <w:rPr>
          <w:b/>
          <w:bCs/>
        </w:rPr>
        <w:sym w:font="Wingdings" w:char="F0E0"/>
      </w:r>
      <w:r w:rsidR="00C71386">
        <w:rPr>
          <w:b/>
          <w:bCs/>
        </w:rPr>
        <w:t xml:space="preserve"> </w:t>
      </w:r>
      <w:r w:rsidR="00C71386" w:rsidRPr="00302659">
        <w:rPr>
          <w:b/>
          <w:bCs/>
          <w:color w:val="FF0000"/>
        </w:rPr>
        <w:t>(Trimestrielle)</w:t>
      </w:r>
      <w:r w:rsidRPr="002525D7">
        <w:br/>
      </w:r>
      <w:r w:rsidRPr="002525D7">
        <w:rPr>
          <w:b/>
          <w:bCs/>
        </w:rPr>
        <w:t>FRED Code</w:t>
      </w:r>
      <w:r w:rsidRPr="002525D7">
        <w:t>: BCNSDODNS</w:t>
      </w:r>
      <w:r w:rsidRPr="002525D7">
        <w:br/>
      </w:r>
      <w:r w:rsidRPr="002525D7">
        <w:rPr>
          <w:b/>
          <w:bCs/>
        </w:rPr>
        <w:t>Description</w:t>
      </w:r>
      <w:r w:rsidRPr="002525D7">
        <w:t xml:space="preserve"> : Cette variable mesure le niveau des dettes sous forme de titres de créance et de prêts des entreprises non financières. Elle permet d'évaluer l'endettement du secteur privé non financier, ce qui est crucial pour analyser la solvabilité des entreprises et les risques financiers associés à l'accumulation de dettes. L'évolution de cette variable offre des informations sur les tendances de financement des entreprises et leur capacité à gérer les obligations financières.</w:t>
      </w:r>
    </w:p>
    <w:p w14:paraId="48A88580" w14:textId="77777777" w:rsidR="0065783B" w:rsidRDefault="0065783B" w:rsidP="0065783B"/>
    <w:p w14:paraId="7B1C5946" w14:textId="568F38AE" w:rsidR="0093294A" w:rsidRDefault="002525D7" w:rsidP="00C71386">
      <w:pPr>
        <w:pStyle w:val="ListParagraph"/>
        <w:numPr>
          <w:ilvl w:val="0"/>
          <w:numId w:val="8"/>
        </w:numPr>
      </w:pPr>
      <w:r w:rsidRPr="002525D7">
        <w:rPr>
          <w:b/>
          <w:bCs/>
        </w:rPr>
        <w:lastRenderedPageBreak/>
        <w:t xml:space="preserve">Domestic Financial </w:t>
      </w:r>
      <w:proofErr w:type="spellStart"/>
      <w:r w:rsidRPr="002525D7">
        <w:rPr>
          <w:b/>
          <w:bCs/>
        </w:rPr>
        <w:t>Sectors</w:t>
      </w:r>
      <w:proofErr w:type="spellEnd"/>
      <w:r w:rsidRPr="002525D7">
        <w:rPr>
          <w:b/>
          <w:bCs/>
        </w:rPr>
        <w:t xml:space="preserve">; </w:t>
      </w:r>
      <w:proofErr w:type="spellStart"/>
      <w:r w:rsidRPr="002525D7">
        <w:rPr>
          <w:b/>
          <w:bCs/>
        </w:rPr>
        <w:t>Debt</w:t>
      </w:r>
      <w:proofErr w:type="spellEnd"/>
      <w:r w:rsidRPr="002525D7">
        <w:rPr>
          <w:b/>
          <w:bCs/>
        </w:rPr>
        <w:t xml:space="preserve"> Securities; </w:t>
      </w:r>
      <w:proofErr w:type="spellStart"/>
      <w:r w:rsidRPr="002525D7">
        <w:rPr>
          <w:b/>
          <w:bCs/>
        </w:rPr>
        <w:t>Liability</w:t>
      </w:r>
      <w:proofErr w:type="spellEnd"/>
      <w:r w:rsidRPr="002525D7">
        <w:rPr>
          <w:b/>
          <w:bCs/>
        </w:rPr>
        <w:t xml:space="preserve">, </w:t>
      </w:r>
      <w:proofErr w:type="spellStart"/>
      <w:r w:rsidRPr="002525D7">
        <w:rPr>
          <w:b/>
          <w:bCs/>
        </w:rPr>
        <w:t>Level</w:t>
      </w:r>
      <w:proofErr w:type="spellEnd"/>
      <w:r w:rsidR="00C71386">
        <w:rPr>
          <w:b/>
          <w:bCs/>
        </w:rPr>
        <w:t xml:space="preserve"> </w:t>
      </w:r>
      <w:r w:rsidR="00C71386" w:rsidRPr="00C71386">
        <w:rPr>
          <w:b/>
          <w:bCs/>
        </w:rPr>
        <w:sym w:font="Wingdings" w:char="F0E0"/>
      </w:r>
      <w:r w:rsidR="00C71386">
        <w:rPr>
          <w:b/>
          <w:bCs/>
        </w:rPr>
        <w:t xml:space="preserve"> </w:t>
      </w:r>
      <w:r w:rsidR="00C71386" w:rsidRPr="00302659">
        <w:rPr>
          <w:b/>
          <w:bCs/>
          <w:color w:val="FF0000"/>
        </w:rPr>
        <w:t>(Trimestrielle)</w:t>
      </w:r>
      <w:r w:rsidRPr="002525D7">
        <w:br/>
      </w:r>
      <w:r w:rsidRPr="002525D7">
        <w:rPr>
          <w:b/>
          <w:bCs/>
        </w:rPr>
        <w:t>FRED Code</w:t>
      </w:r>
      <w:r w:rsidRPr="002525D7">
        <w:t>: FBDSILQ027S</w:t>
      </w:r>
      <w:r w:rsidRPr="002525D7">
        <w:br/>
      </w:r>
      <w:r w:rsidRPr="002525D7">
        <w:rPr>
          <w:b/>
          <w:bCs/>
        </w:rPr>
        <w:t>Description</w:t>
      </w:r>
      <w:r w:rsidRPr="002525D7">
        <w:t xml:space="preserve"> : Cette variable mesure le niveau des dettes sous forme de titres de créance pour les secteurs financiers domestiques. Elle reflète l'endettement des institutions financières dans des instruments de dette tels que les obligations et autres titres. Suivre cette variable permet de comprendre les tendances de financement dans le secteur financier, en particulier la dépendance aux instruments de dette et les risques associés à cette forme de financement.</w:t>
      </w:r>
    </w:p>
    <w:p w14:paraId="6BF350E0" w14:textId="77777777" w:rsidR="0093294A" w:rsidRDefault="0093294A" w:rsidP="0093294A">
      <w:pPr>
        <w:pStyle w:val="ListParagraph"/>
      </w:pPr>
    </w:p>
    <w:p w14:paraId="48AAA77B" w14:textId="77777777" w:rsidR="0093294A" w:rsidRDefault="0093294A" w:rsidP="0093294A">
      <w:pPr>
        <w:pStyle w:val="ListParagraph"/>
      </w:pPr>
    </w:p>
    <w:p w14:paraId="18E166CA" w14:textId="52FF1AE7" w:rsidR="0093294A" w:rsidRDefault="0093294A" w:rsidP="0093294A">
      <w:pPr>
        <w:pStyle w:val="ListParagraph"/>
        <w:numPr>
          <w:ilvl w:val="0"/>
          <w:numId w:val="8"/>
        </w:numPr>
      </w:pPr>
      <w:r w:rsidRPr="0093294A">
        <w:rPr>
          <w:b/>
          <w:bCs/>
        </w:rPr>
        <w:t xml:space="preserve">State and Local </w:t>
      </w:r>
      <w:proofErr w:type="spellStart"/>
      <w:r w:rsidRPr="0093294A">
        <w:rPr>
          <w:b/>
          <w:bCs/>
        </w:rPr>
        <w:t>Governments</w:t>
      </w:r>
      <w:proofErr w:type="spellEnd"/>
      <w:r w:rsidRPr="0093294A">
        <w:rPr>
          <w:b/>
          <w:bCs/>
        </w:rPr>
        <w:t xml:space="preserve">; </w:t>
      </w:r>
      <w:proofErr w:type="spellStart"/>
      <w:r w:rsidRPr="0093294A">
        <w:rPr>
          <w:b/>
          <w:bCs/>
        </w:rPr>
        <w:t>Debt</w:t>
      </w:r>
      <w:proofErr w:type="spellEnd"/>
      <w:r w:rsidRPr="0093294A">
        <w:rPr>
          <w:b/>
          <w:bCs/>
        </w:rPr>
        <w:t xml:space="preserve"> Securities and </w:t>
      </w:r>
      <w:proofErr w:type="spellStart"/>
      <w:r w:rsidRPr="0093294A">
        <w:rPr>
          <w:b/>
          <w:bCs/>
        </w:rPr>
        <w:t>Loans</w:t>
      </w:r>
      <w:proofErr w:type="spellEnd"/>
      <w:r w:rsidRPr="0093294A">
        <w:rPr>
          <w:b/>
          <w:bCs/>
        </w:rPr>
        <w:t xml:space="preserve">; </w:t>
      </w:r>
      <w:proofErr w:type="spellStart"/>
      <w:r w:rsidRPr="0093294A">
        <w:rPr>
          <w:b/>
          <w:bCs/>
        </w:rPr>
        <w:t>Liability</w:t>
      </w:r>
      <w:proofErr w:type="spellEnd"/>
      <w:r w:rsidRPr="0093294A">
        <w:rPr>
          <w:b/>
          <w:bCs/>
        </w:rPr>
        <w:t xml:space="preserve">, </w:t>
      </w:r>
      <w:proofErr w:type="spellStart"/>
      <w:r w:rsidRPr="0093294A">
        <w:rPr>
          <w:b/>
          <w:bCs/>
        </w:rPr>
        <w:t>Level</w:t>
      </w:r>
      <w:proofErr w:type="spellEnd"/>
      <w:r w:rsidR="00C71386">
        <w:rPr>
          <w:b/>
          <w:bCs/>
        </w:rPr>
        <w:t xml:space="preserve"> </w:t>
      </w:r>
      <w:r w:rsidR="00C71386" w:rsidRPr="00C71386">
        <w:rPr>
          <w:b/>
          <w:bCs/>
        </w:rPr>
        <w:sym w:font="Wingdings" w:char="F0E0"/>
      </w:r>
      <w:r w:rsidR="00C71386">
        <w:rPr>
          <w:b/>
          <w:bCs/>
        </w:rPr>
        <w:t xml:space="preserve"> </w:t>
      </w:r>
      <w:r w:rsidR="00C71386" w:rsidRPr="00302659">
        <w:rPr>
          <w:b/>
          <w:bCs/>
          <w:color w:val="FF0000"/>
        </w:rPr>
        <w:t>(Trimestrielle)</w:t>
      </w:r>
      <w:r w:rsidRPr="0093294A">
        <w:br/>
      </w:r>
      <w:r w:rsidRPr="0093294A">
        <w:rPr>
          <w:b/>
          <w:bCs/>
        </w:rPr>
        <w:t>FRED Code</w:t>
      </w:r>
      <w:r w:rsidRPr="0093294A">
        <w:t>: SLGSDODNS</w:t>
      </w:r>
      <w:r w:rsidRPr="0093294A">
        <w:br/>
      </w:r>
      <w:r w:rsidRPr="0093294A">
        <w:rPr>
          <w:b/>
          <w:bCs/>
        </w:rPr>
        <w:t>Description</w:t>
      </w:r>
      <w:r w:rsidRPr="0093294A">
        <w:t xml:space="preserve"> : Cette variable mesure le niveau des dettes sous forme de titres de créance et de prêts pour les gouvernements d'États et locaux. Elle fournit un aperçu de l'endettement des entités gouvernementales en dehors du gouvernement fédéral, essentiel pour évaluer leur capacité à financer des projets publics et à honorer leurs obligations. L'évolution de cette variable peut donner des indications sur les pressions financières auxquelles ces gouvernements sont confrontés et leur impact sur l'économie locale.</w:t>
      </w:r>
    </w:p>
    <w:p w14:paraId="6EEF8439" w14:textId="77777777" w:rsidR="0093294A" w:rsidRDefault="0093294A" w:rsidP="0093294A"/>
    <w:p w14:paraId="164AD1E1" w14:textId="1B83DD96" w:rsidR="0093294A" w:rsidRDefault="00C71386" w:rsidP="00C71386">
      <w:pPr>
        <w:pStyle w:val="ListParagraph"/>
        <w:numPr>
          <w:ilvl w:val="0"/>
          <w:numId w:val="8"/>
        </w:numPr>
      </w:pPr>
      <w:proofErr w:type="spellStart"/>
      <w:r w:rsidRPr="00C71386">
        <w:rPr>
          <w:b/>
          <w:bCs/>
        </w:rPr>
        <w:t>Household</w:t>
      </w:r>
      <w:proofErr w:type="spellEnd"/>
      <w:r w:rsidRPr="00C71386">
        <w:rPr>
          <w:b/>
          <w:bCs/>
        </w:rPr>
        <w:t xml:space="preserve"> </w:t>
      </w:r>
      <w:proofErr w:type="spellStart"/>
      <w:r w:rsidRPr="00C71386">
        <w:rPr>
          <w:b/>
          <w:bCs/>
        </w:rPr>
        <w:t>Debt</w:t>
      </w:r>
      <w:proofErr w:type="spellEnd"/>
      <w:r w:rsidRPr="00C71386">
        <w:rPr>
          <w:b/>
          <w:bCs/>
        </w:rPr>
        <w:t xml:space="preserve"> Service Payments as </w:t>
      </w:r>
      <w:proofErr w:type="gramStart"/>
      <w:r w:rsidRPr="00C71386">
        <w:rPr>
          <w:b/>
          <w:bCs/>
        </w:rPr>
        <w:t>a</w:t>
      </w:r>
      <w:proofErr w:type="gramEnd"/>
      <w:r w:rsidRPr="00C71386">
        <w:rPr>
          <w:b/>
          <w:bCs/>
        </w:rPr>
        <w:t xml:space="preserve"> Percent of </w:t>
      </w:r>
      <w:proofErr w:type="spellStart"/>
      <w:r w:rsidRPr="00C71386">
        <w:rPr>
          <w:b/>
          <w:bCs/>
        </w:rPr>
        <w:t>Disposable</w:t>
      </w:r>
      <w:proofErr w:type="spellEnd"/>
      <w:r w:rsidRPr="00C71386">
        <w:rPr>
          <w:b/>
          <w:bCs/>
        </w:rPr>
        <w:t xml:space="preserve"> </w:t>
      </w:r>
      <w:proofErr w:type="spellStart"/>
      <w:r w:rsidRPr="00C71386">
        <w:rPr>
          <w:b/>
          <w:bCs/>
        </w:rPr>
        <w:t>Personal</w:t>
      </w:r>
      <w:proofErr w:type="spellEnd"/>
      <w:r w:rsidRPr="00C71386">
        <w:rPr>
          <w:b/>
          <w:bCs/>
        </w:rPr>
        <w:t xml:space="preserve"> </w:t>
      </w:r>
      <w:proofErr w:type="spellStart"/>
      <w:r w:rsidRPr="00C71386">
        <w:rPr>
          <w:b/>
          <w:bCs/>
        </w:rPr>
        <w:t>Income</w:t>
      </w:r>
      <w:proofErr w:type="spellEnd"/>
      <w:r>
        <w:rPr>
          <w:b/>
          <w:bCs/>
        </w:rPr>
        <w:t xml:space="preserve"> </w:t>
      </w:r>
      <w:r w:rsidRPr="00C71386">
        <w:rPr>
          <w:b/>
          <w:bCs/>
        </w:rPr>
        <w:sym w:font="Wingdings" w:char="F0E0"/>
      </w:r>
      <w:r>
        <w:rPr>
          <w:b/>
          <w:bCs/>
        </w:rPr>
        <w:t xml:space="preserve"> </w:t>
      </w:r>
      <w:r w:rsidRPr="00302659">
        <w:rPr>
          <w:b/>
          <w:bCs/>
          <w:color w:val="FF0000"/>
        </w:rPr>
        <w:t>(Trimestrielle)</w:t>
      </w:r>
      <w:r w:rsidRPr="00C71386">
        <w:br/>
      </w:r>
      <w:r w:rsidRPr="00C71386">
        <w:rPr>
          <w:b/>
          <w:bCs/>
        </w:rPr>
        <w:t>FRED Code</w:t>
      </w:r>
      <w:r w:rsidRPr="00C71386">
        <w:t>: TDSP</w:t>
      </w:r>
      <w:r w:rsidRPr="00C71386">
        <w:br/>
      </w:r>
      <w:r w:rsidRPr="00C71386">
        <w:rPr>
          <w:b/>
          <w:bCs/>
        </w:rPr>
        <w:t>Description</w:t>
      </w:r>
      <w:r w:rsidRPr="00C71386">
        <w:t xml:space="preserve"> : Cette variable mesure le rapport des paiements de service de la dette des ménages par rapport au revenu personnel disponible. Elle est un indicateur clé de la capacité des ménages à faire face à leurs obligations financières. Un ratio élevé peut indiquer une pression accrue sur les finances des ménages, ce qui peut affecter leur capacité à consommer et à épargner. Cet indicateur est souvent utilisé pour évaluer la stabilité économique et la vulnérabilité des consommateurs aux fluctuations économiques.</w:t>
      </w:r>
    </w:p>
    <w:p w14:paraId="719B4E99" w14:textId="77777777" w:rsidR="00D73296" w:rsidRDefault="00D73296" w:rsidP="0093294A"/>
    <w:p w14:paraId="5AD7FD29" w14:textId="77777777" w:rsidR="00D73296" w:rsidRDefault="00D73296" w:rsidP="0093294A"/>
    <w:p w14:paraId="513890EA" w14:textId="77777777" w:rsidR="00D73296" w:rsidRDefault="00D73296" w:rsidP="0093294A"/>
    <w:p w14:paraId="1015E7FD" w14:textId="77777777" w:rsidR="00D73296" w:rsidRDefault="00D73296" w:rsidP="0093294A"/>
    <w:p w14:paraId="28C041A7" w14:textId="77777777" w:rsidR="00D73296" w:rsidRDefault="00D73296" w:rsidP="0093294A"/>
    <w:p w14:paraId="053DD3F6" w14:textId="77777777" w:rsidR="00D73296" w:rsidRDefault="00D73296" w:rsidP="0093294A"/>
    <w:p w14:paraId="090DD20E" w14:textId="77777777" w:rsidR="00D73296" w:rsidRDefault="00D73296" w:rsidP="0093294A"/>
    <w:p w14:paraId="2088DA28" w14:textId="77777777" w:rsidR="00D73296" w:rsidRDefault="00D73296" w:rsidP="0093294A"/>
    <w:p w14:paraId="48AF2EE6" w14:textId="77777777" w:rsidR="00280019" w:rsidRPr="00D42CED" w:rsidRDefault="00280019" w:rsidP="00280019"/>
    <w:p w14:paraId="0B8B0C91" w14:textId="036A05D5" w:rsidR="00280019" w:rsidRDefault="00280019" w:rsidP="00960021">
      <w:pPr>
        <w:pStyle w:val="Heading1"/>
      </w:pPr>
      <w:r w:rsidRPr="00D42CED">
        <w:lastRenderedPageBreak/>
        <w:t xml:space="preserve">Catégorie : Décisions des Banques Centrales (ex. </w:t>
      </w:r>
      <w:r w:rsidRPr="001D3C83">
        <w:t>Fed)</w:t>
      </w:r>
    </w:p>
    <w:p w14:paraId="54D60F87" w14:textId="77777777" w:rsidR="00D73296" w:rsidRDefault="00D73296" w:rsidP="00D73296"/>
    <w:p w14:paraId="50C4078E" w14:textId="2FBB9D06" w:rsidR="00C71386" w:rsidRPr="00D73296" w:rsidRDefault="00C71386" w:rsidP="00C71386">
      <w:pPr>
        <w:pStyle w:val="ListParagraph"/>
        <w:numPr>
          <w:ilvl w:val="0"/>
          <w:numId w:val="9"/>
        </w:numPr>
      </w:pPr>
      <w:proofErr w:type="spellStart"/>
      <w:r w:rsidRPr="00C71386">
        <w:rPr>
          <w:b/>
          <w:bCs/>
        </w:rPr>
        <w:t>Federal</w:t>
      </w:r>
      <w:proofErr w:type="spellEnd"/>
      <w:r w:rsidRPr="00C71386">
        <w:rPr>
          <w:b/>
          <w:bCs/>
        </w:rPr>
        <w:t xml:space="preserve"> Funds Effective Rate</w:t>
      </w:r>
      <w:r w:rsidRPr="00C71386">
        <w:br/>
      </w:r>
      <w:r w:rsidRPr="00C71386">
        <w:rPr>
          <w:b/>
          <w:bCs/>
        </w:rPr>
        <w:t>FRED Code</w:t>
      </w:r>
      <w:r w:rsidRPr="00C71386">
        <w:t>: FEDFUNDS</w:t>
      </w:r>
      <w:r w:rsidRPr="00C71386">
        <w:br/>
      </w:r>
      <w:r w:rsidRPr="00C71386">
        <w:rPr>
          <w:b/>
          <w:bCs/>
        </w:rPr>
        <w:t>Description</w:t>
      </w:r>
      <w:r w:rsidRPr="00C71386">
        <w:t xml:space="preserve"> : Le taux effectif des fonds fédéraux est le taux d'intérêt auquel les banques prêtent des réserves excédentaires entre elles, au sein du système bancaire américain. Il est un indicateur clé de la politique monétaire de la Réserve fédérale, car il reflète les conditions de liquidité sur le marché monétaire et influence directement d'autres taux d'intérêt dans l'économie, notamment ceux des prêts bancaires et des obligations. Suivre ce taux permet d'évaluer l'orientation de la politique monétaire et son impact sur la croissance économique et l'inflation.</w:t>
      </w:r>
    </w:p>
    <w:p w14:paraId="33BA1B45" w14:textId="77777777" w:rsidR="00280019" w:rsidRDefault="00280019" w:rsidP="00280019"/>
    <w:p w14:paraId="0A84FA01" w14:textId="58156175" w:rsidR="00194DBB" w:rsidRDefault="00194DBB" w:rsidP="00194DBB">
      <w:pPr>
        <w:pStyle w:val="ListParagraph"/>
        <w:numPr>
          <w:ilvl w:val="0"/>
          <w:numId w:val="9"/>
        </w:numPr>
      </w:pPr>
      <w:proofErr w:type="spellStart"/>
      <w:r w:rsidRPr="00194DBB">
        <w:rPr>
          <w:b/>
          <w:bCs/>
        </w:rPr>
        <w:t>Interest</w:t>
      </w:r>
      <w:proofErr w:type="spellEnd"/>
      <w:r w:rsidRPr="00194DBB">
        <w:rPr>
          <w:b/>
          <w:bCs/>
        </w:rPr>
        <w:t xml:space="preserve"> Rates, Discount Rate for United States</w:t>
      </w:r>
      <w:r w:rsidRPr="00194DBB">
        <w:br/>
      </w:r>
      <w:r w:rsidRPr="00194DBB">
        <w:rPr>
          <w:b/>
          <w:bCs/>
        </w:rPr>
        <w:t>FRED Code</w:t>
      </w:r>
      <w:r w:rsidRPr="00194DBB">
        <w:t>: INTDSRUSM193N</w:t>
      </w:r>
      <w:r w:rsidRPr="00194DBB">
        <w:br/>
      </w:r>
      <w:r w:rsidRPr="00194DBB">
        <w:rPr>
          <w:b/>
          <w:bCs/>
        </w:rPr>
        <w:t>Description</w:t>
      </w:r>
      <w:r w:rsidRPr="00194DBB">
        <w:t xml:space="preserve"> : Le taux d'escompte est le taux d'intérêt auquel les institutions financières peuvent emprunter des fonds directement auprès de la Réserve fédérale des États-Unis. Ce taux est un outil clé de la politique monétaire, car il influence le coût du crédit dans l'économie et sert de signal pour les conditions économiques. L'évolution de ce taux peut refléter les intentions de la Réserve fédérale concernant la gestion de la liquidité et la stabilité économique.</w:t>
      </w:r>
    </w:p>
    <w:p w14:paraId="053E2EF6" w14:textId="77777777" w:rsidR="00D73296" w:rsidRDefault="00D73296" w:rsidP="00280019"/>
    <w:p w14:paraId="32087F1B" w14:textId="74652E30" w:rsidR="00D73296" w:rsidRDefault="00194DBB" w:rsidP="00194DBB">
      <w:pPr>
        <w:pStyle w:val="ListParagraph"/>
        <w:numPr>
          <w:ilvl w:val="0"/>
          <w:numId w:val="9"/>
        </w:numPr>
      </w:pPr>
      <w:r w:rsidRPr="00194DBB">
        <w:rPr>
          <w:b/>
          <w:bCs/>
        </w:rPr>
        <w:t>Currency in Circulation</w:t>
      </w:r>
      <w:r w:rsidRPr="00194DBB">
        <w:br/>
      </w:r>
      <w:r w:rsidRPr="00194DBB">
        <w:rPr>
          <w:b/>
          <w:bCs/>
        </w:rPr>
        <w:t>FRED Code</w:t>
      </w:r>
      <w:r w:rsidRPr="00194DBB">
        <w:t>: CURRCIR</w:t>
      </w:r>
      <w:r w:rsidRPr="00194DBB">
        <w:br/>
      </w:r>
      <w:r w:rsidRPr="00194DBB">
        <w:rPr>
          <w:b/>
          <w:bCs/>
        </w:rPr>
        <w:t>Description</w:t>
      </w:r>
      <w:r w:rsidRPr="00194DBB">
        <w:t xml:space="preserve"> : La monnaie en circulation mesure la quantité de billets et de pièces en circulation dans l'économie, excluant les réserves détenues par les banques et la Réserve fédérale. Elle est un indicateur clé de l'offre monétaire, montrant la liquidité disponible pour les transactions économiques. Cette variable permet d'évaluer les conditions économiques et la demande de monnaie physique dans l'économie.</w:t>
      </w:r>
    </w:p>
    <w:p w14:paraId="3D268E7C" w14:textId="77777777" w:rsidR="00D73296" w:rsidRDefault="00D73296" w:rsidP="00280019"/>
    <w:p w14:paraId="1D88DB25" w14:textId="7DB844BE" w:rsidR="00216E1C" w:rsidRDefault="00216E1C" w:rsidP="00216E1C">
      <w:pPr>
        <w:pStyle w:val="ListParagraph"/>
        <w:numPr>
          <w:ilvl w:val="0"/>
          <w:numId w:val="9"/>
        </w:numPr>
      </w:pPr>
      <w:proofErr w:type="spellStart"/>
      <w:r w:rsidRPr="00216E1C">
        <w:rPr>
          <w:b/>
          <w:bCs/>
        </w:rPr>
        <w:t>Monetary</w:t>
      </w:r>
      <w:proofErr w:type="spellEnd"/>
      <w:r w:rsidRPr="00216E1C">
        <w:rPr>
          <w:b/>
          <w:bCs/>
        </w:rPr>
        <w:t xml:space="preserve"> Base: Currency in Circulation</w:t>
      </w:r>
      <w:r w:rsidRPr="00216E1C">
        <w:br/>
      </w:r>
      <w:r w:rsidRPr="00216E1C">
        <w:rPr>
          <w:b/>
          <w:bCs/>
        </w:rPr>
        <w:t>FRED Code</w:t>
      </w:r>
      <w:r w:rsidRPr="00216E1C">
        <w:t>: MBCURRCIR</w:t>
      </w:r>
      <w:r w:rsidRPr="00216E1C">
        <w:br/>
      </w:r>
      <w:r w:rsidRPr="00216E1C">
        <w:rPr>
          <w:b/>
          <w:bCs/>
        </w:rPr>
        <w:t>Description</w:t>
      </w:r>
      <w:r w:rsidRPr="00216E1C">
        <w:t xml:space="preserve"> : La base monétaire : monnaie en circulation mesure la quantité totale de billets et de pièces en circulation dans l'économie, qui fait partie de la base monétaire plus large. Cette variable est cruciale pour comprendre la quantité de monnaie physique disponible pour les transactions économiques, et elle joue un rôle clé dans l'analyse de la politique monétaire de la Réserve fédérale. Une augmentation de cette mesure peut signaler une expansion de la liquidité dans l'économie.</w:t>
      </w:r>
    </w:p>
    <w:p w14:paraId="09BEE486" w14:textId="77777777" w:rsidR="00D73296" w:rsidRDefault="00D73296" w:rsidP="00280019"/>
    <w:p w14:paraId="48FD752C" w14:textId="77777777" w:rsidR="00216E1C" w:rsidRDefault="00216E1C" w:rsidP="00280019"/>
    <w:p w14:paraId="0BD4CC4E" w14:textId="77777777" w:rsidR="00216E1C" w:rsidRDefault="00216E1C" w:rsidP="00280019"/>
    <w:p w14:paraId="0450C2AC" w14:textId="327C6458" w:rsidR="00D73296" w:rsidRDefault="00216E1C" w:rsidP="00216E1C">
      <w:pPr>
        <w:pStyle w:val="ListParagraph"/>
        <w:numPr>
          <w:ilvl w:val="0"/>
          <w:numId w:val="9"/>
        </w:numPr>
      </w:pPr>
      <w:r w:rsidRPr="00216E1C">
        <w:rPr>
          <w:b/>
          <w:bCs/>
        </w:rPr>
        <w:lastRenderedPageBreak/>
        <w:t>Total Assets, All Commercial Banks</w:t>
      </w:r>
      <w:r w:rsidR="009A2EB0">
        <w:rPr>
          <w:b/>
          <w:bCs/>
        </w:rPr>
        <w:t xml:space="preserve"> </w:t>
      </w:r>
      <w:r w:rsidR="009A2EB0" w:rsidRPr="009A2EB0">
        <w:rPr>
          <w:b/>
          <w:bCs/>
        </w:rPr>
        <w:sym w:font="Wingdings" w:char="F0E0"/>
      </w:r>
      <w:r w:rsidR="009A2EB0">
        <w:rPr>
          <w:b/>
          <w:bCs/>
        </w:rPr>
        <w:t xml:space="preserve"> </w:t>
      </w:r>
      <w:bookmarkStart w:id="4" w:name="_Hlk182763212"/>
      <w:r w:rsidR="009A2EB0" w:rsidRPr="009A2EB0">
        <w:rPr>
          <w:b/>
          <w:bCs/>
          <w:color w:val="FF0000"/>
        </w:rPr>
        <w:t>(Weekly)</w:t>
      </w:r>
      <w:bookmarkEnd w:id="4"/>
      <w:r w:rsidRPr="00216E1C">
        <w:br/>
      </w:r>
      <w:r w:rsidRPr="00216E1C">
        <w:rPr>
          <w:b/>
          <w:bCs/>
        </w:rPr>
        <w:t>FRED Code</w:t>
      </w:r>
      <w:r w:rsidRPr="00216E1C">
        <w:t>: TLAACBW027SBOG</w:t>
      </w:r>
      <w:r w:rsidRPr="00216E1C">
        <w:br/>
      </w:r>
      <w:r w:rsidRPr="00216E1C">
        <w:rPr>
          <w:b/>
          <w:bCs/>
        </w:rPr>
        <w:t>Description</w:t>
      </w:r>
      <w:r w:rsidRPr="00216E1C">
        <w:t xml:space="preserve"> : Cette variable mesure l'ensemble des actifs détenus par toutes les banques commerciales aux États-Unis. Elle est utilisée pour évaluer la taille et la santé financière du secteur bancaire, offrant des informations essentielles sur la capacité des banques à accorder des prêts et à générer des revenus. Suivre l'évolution de cette variable permet de mieux comprendre les dynamiques du système bancaire et son rôle dans l'économie.</w:t>
      </w:r>
    </w:p>
    <w:p w14:paraId="70D4DE3E" w14:textId="77777777" w:rsidR="00D73296" w:rsidRDefault="00D73296" w:rsidP="00280019"/>
    <w:p w14:paraId="1DCDD4CB" w14:textId="7A84064A" w:rsidR="00D73296" w:rsidRDefault="000E7236" w:rsidP="000E7236">
      <w:pPr>
        <w:pStyle w:val="ListParagraph"/>
        <w:numPr>
          <w:ilvl w:val="0"/>
          <w:numId w:val="9"/>
        </w:numPr>
      </w:pPr>
      <w:r w:rsidRPr="000E7236">
        <w:rPr>
          <w:b/>
          <w:bCs/>
        </w:rPr>
        <w:t xml:space="preserve">Total </w:t>
      </w:r>
      <w:proofErr w:type="spellStart"/>
      <w:r w:rsidRPr="000E7236">
        <w:rPr>
          <w:b/>
          <w:bCs/>
        </w:rPr>
        <w:t>Liabilities</w:t>
      </w:r>
      <w:proofErr w:type="spellEnd"/>
      <w:r w:rsidRPr="000E7236">
        <w:rPr>
          <w:b/>
          <w:bCs/>
        </w:rPr>
        <w:t>, All Commercial Banks</w:t>
      </w:r>
      <w:r w:rsidR="009A2EB0">
        <w:rPr>
          <w:b/>
          <w:bCs/>
        </w:rPr>
        <w:t xml:space="preserve"> </w:t>
      </w:r>
      <w:r w:rsidR="009A2EB0" w:rsidRPr="009A2EB0">
        <w:rPr>
          <w:b/>
          <w:bCs/>
        </w:rPr>
        <w:sym w:font="Wingdings" w:char="F0E0"/>
      </w:r>
      <w:r w:rsidR="009A2EB0">
        <w:rPr>
          <w:b/>
          <w:bCs/>
        </w:rPr>
        <w:t xml:space="preserve"> </w:t>
      </w:r>
      <w:r w:rsidR="009A2EB0" w:rsidRPr="009A2EB0">
        <w:rPr>
          <w:b/>
          <w:bCs/>
          <w:color w:val="FF0000"/>
        </w:rPr>
        <w:t>(Weekly)</w:t>
      </w:r>
      <w:r w:rsidRPr="000E7236">
        <w:br/>
      </w:r>
      <w:r w:rsidRPr="000E7236">
        <w:rPr>
          <w:b/>
          <w:bCs/>
        </w:rPr>
        <w:t>FRED Code</w:t>
      </w:r>
      <w:r w:rsidRPr="000E7236">
        <w:t>: TLBACBW027SBOG</w:t>
      </w:r>
      <w:r w:rsidRPr="000E7236">
        <w:br/>
      </w:r>
      <w:r w:rsidRPr="000E7236">
        <w:rPr>
          <w:b/>
          <w:bCs/>
        </w:rPr>
        <w:t>Description</w:t>
      </w:r>
      <w:r w:rsidRPr="000E7236">
        <w:t xml:space="preserve"> : Cette variable mesure l'ensemble des passifs détenus par toutes les banques commerciales aux États-Unis. Elle permet d'évaluer les obligations financières totales du secteur bancaire, offrant une vue sur le niveau de dettes et d'engagements financiers des banques. Suivre cette variable est essentiel pour analyser la solvabilité du système bancaire et sa capacité à honorer ses obligations à court et à long terme.</w:t>
      </w:r>
    </w:p>
    <w:p w14:paraId="6808F86C" w14:textId="77777777" w:rsidR="00D73296" w:rsidRDefault="00D73296" w:rsidP="00280019"/>
    <w:p w14:paraId="56806D11" w14:textId="3F68E6F9" w:rsidR="009A2EB0" w:rsidRDefault="009A2EB0" w:rsidP="009A2EB0">
      <w:pPr>
        <w:pStyle w:val="ListParagraph"/>
        <w:numPr>
          <w:ilvl w:val="0"/>
          <w:numId w:val="9"/>
        </w:numPr>
      </w:pPr>
      <w:r w:rsidRPr="009A2EB0">
        <w:rPr>
          <w:b/>
          <w:bCs/>
        </w:rPr>
        <w:t xml:space="preserve">Bank </w:t>
      </w:r>
      <w:proofErr w:type="spellStart"/>
      <w:r w:rsidRPr="009A2EB0">
        <w:rPr>
          <w:b/>
          <w:bCs/>
        </w:rPr>
        <w:t>Credit</w:t>
      </w:r>
      <w:proofErr w:type="spellEnd"/>
      <w:r w:rsidRPr="009A2EB0">
        <w:rPr>
          <w:b/>
          <w:bCs/>
        </w:rPr>
        <w:t>, All Commercial Banks</w:t>
      </w:r>
      <w:r>
        <w:rPr>
          <w:b/>
          <w:bCs/>
        </w:rPr>
        <w:t xml:space="preserve"> </w:t>
      </w:r>
      <w:r w:rsidRPr="009A2EB0">
        <w:rPr>
          <w:b/>
          <w:bCs/>
        </w:rPr>
        <w:sym w:font="Wingdings" w:char="F0E0"/>
      </w:r>
      <w:r>
        <w:rPr>
          <w:b/>
          <w:bCs/>
        </w:rPr>
        <w:t xml:space="preserve"> </w:t>
      </w:r>
      <w:r w:rsidRPr="009A2EB0">
        <w:rPr>
          <w:b/>
          <w:bCs/>
          <w:color w:val="FF0000"/>
        </w:rPr>
        <w:t>(Weekly)</w:t>
      </w:r>
      <w:r w:rsidRPr="009A2EB0">
        <w:br/>
      </w:r>
      <w:r w:rsidRPr="009A2EB0">
        <w:rPr>
          <w:b/>
          <w:bCs/>
        </w:rPr>
        <w:t>FRED Code</w:t>
      </w:r>
      <w:r w:rsidRPr="009A2EB0">
        <w:t>: TOTBKCR</w:t>
      </w:r>
      <w:r w:rsidRPr="009A2EB0">
        <w:br/>
      </w:r>
      <w:r w:rsidRPr="009A2EB0">
        <w:rPr>
          <w:b/>
          <w:bCs/>
        </w:rPr>
        <w:t>Description</w:t>
      </w:r>
      <w:r w:rsidRPr="009A2EB0">
        <w:t xml:space="preserve"> : Cette variable mesure le crédit bancaire total accordé par toutes les banques commerciales aux États-Unis. Elle inclut les prêts et les avances aux entreprises, aux ménages et aux autres institutions financières. L'évolution de cette variable est un indicateur clé de la disponibilité du crédit dans l'économie, ce qui influence directement l'activité économique, les investissements et la consommation.</w:t>
      </w:r>
    </w:p>
    <w:p w14:paraId="3773AB23" w14:textId="77777777" w:rsidR="009A2EB0" w:rsidRDefault="009A2EB0" w:rsidP="009A2EB0">
      <w:pPr>
        <w:pStyle w:val="ListParagraph"/>
      </w:pPr>
    </w:p>
    <w:p w14:paraId="62BAE86E" w14:textId="66912209" w:rsidR="009A2EB0" w:rsidRPr="009A2EB0" w:rsidRDefault="009A2EB0" w:rsidP="009A2EB0">
      <w:pPr>
        <w:pStyle w:val="ListParagraph"/>
        <w:numPr>
          <w:ilvl w:val="0"/>
          <w:numId w:val="9"/>
        </w:numPr>
      </w:pPr>
      <w:proofErr w:type="spellStart"/>
      <w:r w:rsidRPr="009A2EB0">
        <w:rPr>
          <w:b/>
          <w:bCs/>
        </w:rPr>
        <w:t>Loans</w:t>
      </w:r>
      <w:proofErr w:type="spellEnd"/>
      <w:r w:rsidRPr="009A2EB0">
        <w:rPr>
          <w:b/>
          <w:bCs/>
        </w:rPr>
        <w:t xml:space="preserve"> and </w:t>
      </w:r>
      <w:proofErr w:type="spellStart"/>
      <w:r w:rsidRPr="009A2EB0">
        <w:rPr>
          <w:b/>
          <w:bCs/>
        </w:rPr>
        <w:t>Leases</w:t>
      </w:r>
      <w:proofErr w:type="spellEnd"/>
      <w:r w:rsidRPr="009A2EB0">
        <w:rPr>
          <w:b/>
          <w:bCs/>
        </w:rPr>
        <w:t xml:space="preserve"> in Bank </w:t>
      </w:r>
      <w:proofErr w:type="spellStart"/>
      <w:r w:rsidRPr="009A2EB0">
        <w:rPr>
          <w:b/>
          <w:bCs/>
        </w:rPr>
        <w:t>Credit</w:t>
      </w:r>
      <w:proofErr w:type="spellEnd"/>
      <w:r w:rsidRPr="009A2EB0">
        <w:rPr>
          <w:b/>
          <w:bCs/>
        </w:rPr>
        <w:t>, All Commercial Banks</w:t>
      </w:r>
      <w:r>
        <w:rPr>
          <w:b/>
          <w:bCs/>
        </w:rPr>
        <w:t xml:space="preserve"> </w:t>
      </w:r>
      <w:r w:rsidRPr="009A2EB0">
        <w:rPr>
          <w:b/>
          <w:bCs/>
        </w:rPr>
        <w:sym w:font="Wingdings" w:char="F0E0"/>
      </w:r>
      <w:r>
        <w:rPr>
          <w:b/>
          <w:bCs/>
        </w:rPr>
        <w:t xml:space="preserve"> </w:t>
      </w:r>
      <w:r w:rsidRPr="009A2EB0">
        <w:rPr>
          <w:b/>
          <w:bCs/>
          <w:color w:val="FF0000"/>
        </w:rPr>
        <w:t>(Weekly)</w:t>
      </w:r>
      <w:r w:rsidRPr="009A2EB0">
        <w:br/>
      </w:r>
      <w:r w:rsidRPr="009A2EB0">
        <w:rPr>
          <w:b/>
          <w:bCs/>
        </w:rPr>
        <w:t>FRED Code</w:t>
      </w:r>
      <w:r w:rsidRPr="009A2EB0">
        <w:t>: TOTLL</w:t>
      </w:r>
      <w:r w:rsidRPr="009A2EB0">
        <w:br/>
      </w:r>
      <w:r w:rsidRPr="009A2EB0">
        <w:rPr>
          <w:b/>
          <w:bCs/>
        </w:rPr>
        <w:t>Description</w:t>
      </w:r>
      <w:r w:rsidRPr="009A2EB0">
        <w:t xml:space="preserve"> : Cette variable mesure les prêts et baux dans le crédit bancaire total accordé par toutes les banques commerciales. Elle comprend les prêts aux entreprises, aux ménages, et les baux financiers. Cette série est cruciale pour évaluer l'activité de prêt des banques et l'accès au financement dans l'économie, étant un indicateur important de la santé du secteur bancaire et de la croissance économique.</w:t>
      </w:r>
    </w:p>
    <w:p w14:paraId="1B1D1BAE" w14:textId="77777777" w:rsidR="00D73296" w:rsidRDefault="00D73296" w:rsidP="00280019"/>
    <w:p w14:paraId="26058BA1" w14:textId="77777777" w:rsidR="00D73296" w:rsidRDefault="00D73296" w:rsidP="00280019"/>
    <w:p w14:paraId="16F192FD" w14:textId="77777777" w:rsidR="00D73296" w:rsidRDefault="00D73296" w:rsidP="00280019"/>
    <w:p w14:paraId="4E24E5E4" w14:textId="77777777" w:rsidR="00D73296" w:rsidRDefault="00D73296" w:rsidP="00280019"/>
    <w:p w14:paraId="0A5FBC82" w14:textId="77777777" w:rsidR="00D73296" w:rsidRDefault="00D73296" w:rsidP="00280019"/>
    <w:p w14:paraId="4DE3C791" w14:textId="77777777" w:rsidR="00D73296" w:rsidRPr="001D3C83" w:rsidRDefault="00D73296" w:rsidP="00280019"/>
    <w:p w14:paraId="0521A056" w14:textId="739F5A57" w:rsidR="00280019" w:rsidRPr="00D42CED" w:rsidRDefault="00280019" w:rsidP="00960021">
      <w:pPr>
        <w:pStyle w:val="Heading1"/>
      </w:pPr>
      <w:r w:rsidRPr="00D42CED">
        <w:lastRenderedPageBreak/>
        <w:t>Catégorie : Investissements Étrangers</w:t>
      </w:r>
    </w:p>
    <w:p w14:paraId="7610AAA7" w14:textId="77777777" w:rsidR="00280019" w:rsidRDefault="00280019" w:rsidP="00280019"/>
    <w:p w14:paraId="64958F2C" w14:textId="68687039" w:rsidR="00D73296" w:rsidRDefault="005B29B7" w:rsidP="005B29B7">
      <w:pPr>
        <w:pStyle w:val="ListParagraph"/>
        <w:numPr>
          <w:ilvl w:val="0"/>
          <w:numId w:val="10"/>
        </w:numPr>
      </w:pPr>
      <w:proofErr w:type="spellStart"/>
      <w:r w:rsidRPr="005B29B7">
        <w:rPr>
          <w:b/>
          <w:bCs/>
        </w:rPr>
        <w:t>Rest</w:t>
      </w:r>
      <w:proofErr w:type="spellEnd"/>
      <w:r w:rsidRPr="005B29B7">
        <w:rPr>
          <w:b/>
          <w:bCs/>
        </w:rPr>
        <w:t xml:space="preserve"> of the World; </w:t>
      </w:r>
      <w:proofErr w:type="spellStart"/>
      <w:r w:rsidRPr="005B29B7">
        <w:rPr>
          <w:b/>
          <w:bCs/>
        </w:rPr>
        <w:t>Foreign</w:t>
      </w:r>
      <w:proofErr w:type="spellEnd"/>
      <w:r w:rsidRPr="005B29B7">
        <w:rPr>
          <w:b/>
          <w:bCs/>
        </w:rPr>
        <w:t xml:space="preserve"> Direct Investment in U.S.; Asset (</w:t>
      </w:r>
      <w:proofErr w:type="spellStart"/>
      <w:r w:rsidRPr="005B29B7">
        <w:rPr>
          <w:b/>
          <w:bCs/>
        </w:rPr>
        <w:t>Current</w:t>
      </w:r>
      <w:proofErr w:type="spellEnd"/>
      <w:r w:rsidRPr="005B29B7">
        <w:rPr>
          <w:b/>
          <w:bCs/>
        </w:rPr>
        <w:t xml:space="preserve"> </w:t>
      </w:r>
      <w:proofErr w:type="spellStart"/>
      <w:r w:rsidRPr="005B29B7">
        <w:rPr>
          <w:b/>
          <w:bCs/>
        </w:rPr>
        <w:t>Cost</w:t>
      </w:r>
      <w:proofErr w:type="spellEnd"/>
      <w:r w:rsidRPr="005B29B7">
        <w:rPr>
          <w:b/>
          <w:bCs/>
        </w:rPr>
        <w:t>), Transactions</w:t>
      </w:r>
      <w:r>
        <w:rPr>
          <w:b/>
          <w:bCs/>
        </w:rPr>
        <w:t xml:space="preserve"> </w:t>
      </w:r>
      <w:r w:rsidRPr="005B29B7">
        <w:rPr>
          <w:b/>
          <w:bCs/>
        </w:rPr>
        <w:sym w:font="Wingdings" w:char="F0E0"/>
      </w:r>
      <w:r>
        <w:rPr>
          <w:b/>
          <w:bCs/>
        </w:rPr>
        <w:t xml:space="preserve"> </w:t>
      </w:r>
      <w:bookmarkStart w:id="5" w:name="_Hlk182763558"/>
      <w:r w:rsidRPr="005B29B7">
        <w:rPr>
          <w:b/>
          <w:bCs/>
          <w:color w:val="FF0000"/>
        </w:rPr>
        <w:t xml:space="preserve">(Trimestrielle) </w:t>
      </w:r>
      <w:bookmarkEnd w:id="5"/>
      <w:r w:rsidRPr="005B29B7">
        <w:br/>
      </w:r>
      <w:r w:rsidRPr="005B29B7">
        <w:rPr>
          <w:b/>
          <w:bCs/>
        </w:rPr>
        <w:t>FRED Code</w:t>
      </w:r>
      <w:r w:rsidRPr="005B29B7">
        <w:t>: ROWFDIQ027S</w:t>
      </w:r>
      <w:r w:rsidRPr="005B29B7">
        <w:br/>
      </w:r>
      <w:r w:rsidRPr="005B29B7">
        <w:rPr>
          <w:b/>
          <w:bCs/>
        </w:rPr>
        <w:t>Description</w:t>
      </w:r>
      <w:r w:rsidRPr="005B29B7">
        <w:t xml:space="preserve"> : Cette variable mesure l'investissement direct étranger aux États-Unis en termes d'actifs à coût courant pour les transactions effectuées par les investisseurs étrangers. Elle reflète l'impact des investissements étrangers sur l'économie américaine, en particulier dans les secteurs stratégiques. Suivre cette variable permet d'analyser les flux d'investissements étrangers et leur influence sur la croissance économique et les relations économiques internationales.</w:t>
      </w:r>
    </w:p>
    <w:p w14:paraId="6DB44E43" w14:textId="77777777" w:rsidR="00D73296" w:rsidRDefault="00D73296" w:rsidP="00280019"/>
    <w:p w14:paraId="71022723" w14:textId="02F824F2" w:rsidR="00675DBA" w:rsidRDefault="00675DBA" w:rsidP="00675DBA">
      <w:pPr>
        <w:pStyle w:val="ListParagraph"/>
        <w:numPr>
          <w:ilvl w:val="0"/>
          <w:numId w:val="10"/>
        </w:numPr>
      </w:pPr>
      <w:proofErr w:type="spellStart"/>
      <w:r w:rsidRPr="00675DBA">
        <w:rPr>
          <w:b/>
          <w:bCs/>
        </w:rPr>
        <w:t>Rest</w:t>
      </w:r>
      <w:proofErr w:type="spellEnd"/>
      <w:r w:rsidRPr="00675DBA">
        <w:rPr>
          <w:b/>
          <w:bCs/>
        </w:rPr>
        <w:t xml:space="preserve"> of the World; </w:t>
      </w:r>
      <w:proofErr w:type="spellStart"/>
      <w:r w:rsidRPr="00675DBA">
        <w:rPr>
          <w:b/>
          <w:bCs/>
        </w:rPr>
        <w:t>Foreign</w:t>
      </w:r>
      <w:proofErr w:type="spellEnd"/>
      <w:r w:rsidRPr="00675DBA">
        <w:rPr>
          <w:b/>
          <w:bCs/>
        </w:rPr>
        <w:t xml:space="preserve"> Direct Investment in U.S.; Asset (</w:t>
      </w:r>
      <w:proofErr w:type="spellStart"/>
      <w:r w:rsidRPr="00675DBA">
        <w:rPr>
          <w:b/>
          <w:bCs/>
        </w:rPr>
        <w:t>Current</w:t>
      </w:r>
      <w:proofErr w:type="spellEnd"/>
      <w:r w:rsidRPr="00675DBA">
        <w:rPr>
          <w:b/>
          <w:bCs/>
        </w:rPr>
        <w:t xml:space="preserve"> </w:t>
      </w:r>
      <w:proofErr w:type="spellStart"/>
      <w:r w:rsidRPr="00675DBA">
        <w:rPr>
          <w:b/>
          <w:bCs/>
        </w:rPr>
        <w:t>Cost</w:t>
      </w:r>
      <w:proofErr w:type="spellEnd"/>
      <w:r w:rsidRPr="00675DBA">
        <w:rPr>
          <w:b/>
          <w:bCs/>
        </w:rPr>
        <w:t xml:space="preserve">), </w:t>
      </w:r>
      <w:proofErr w:type="spellStart"/>
      <w:r w:rsidRPr="00675DBA">
        <w:rPr>
          <w:b/>
          <w:bCs/>
        </w:rPr>
        <w:t>Level</w:t>
      </w:r>
      <w:proofErr w:type="spellEnd"/>
      <w:r>
        <w:rPr>
          <w:b/>
          <w:bCs/>
        </w:rPr>
        <w:t xml:space="preserve"> </w:t>
      </w:r>
      <w:r w:rsidRPr="00675DBA">
        <w:rPr>
          <w:b/>
          <w:bCs/>
        </w:rPr>
        <w:sym w:font="Wingdings" w:char="F0E0"/>
      </w:r>
      <w:r>
        <w:rPr>
          <w:b/>
          <w:bCs/>
        </w:rPr>
        <w:t xml:space="preserve"> </w:t>
      </w:r>
      <w:bookmarkStart w:id="6" w:name="_Hlk182763867"/>
      <w:r w:rsidRPr="005B29B7">
        <w:rPr>
          <w:b/>
          <w:bCs/>
          <w:color w:val="FF0000"/>
        </w:rPr>
        <w:t>(Trimestrielle)</w:t>
      </w:r>
      <w:bookmarkEnd w:id="6"/>
      <w:r w:rsidRPr="00675DBA">
        <w:br/>
      </w:r>
      <w:r w:rsidRPr="00675DBA">
        <w:rPr>
          <w:b/>
          <w:bCs/>
        </w:rPr>
        <w:t>FRED Code</w:t>
      </w:r>
      <w:r w:rsidRPr="00675DBA">
        <w:t>: ROWFDNQ027S</w:t>
      </w:r>
      <w:r w:rsidRPr="00675DBA">
        <w:br/>
      </w:r>
      <w:r w:rsidRPr="00675DBA">
        <w:rPr>
          <w:b/>
          <w:bCs/>
        </w:rPr>
        <w:t>Description</w:t>
      </w:r>
      <w:r w:rsidRPr="00675DBA">
        <w:t xml:space="preserve"> : Cette variable mesure le niveau des investissements directs étrangers aux États-Unis en termes d'actifs à coût courant. Elle reflète la valeur totale des investissements étrangers dans des actifs productifs aux États-Unis, ce qui est essentiel pour évaluer l'influence économique des investisseurs étrangers dans l'économie américaine. Cette série permet d'analyser les tendances des flux d'investissements étrangers à long terme et leur impact sur l'économie nationale.</w:t>
      </w:r>
    </w:p>
    <w:p w14:paraId="50A2008D" w14:textId="77777777" w:rsidR="00D73296" w:rsidRDefault="00D73296" w:rsidP="00280019"/>
    <w:p w14:paraId="6F07AA30" w14:textId="7F075F8F" w:rsidR="00310BA5" w:rsidRPr="00310BA5" w:rsidRDefault="00310BA5" w:rsidP="00310BA5">
      <w:pPr>
        <w:pStyle w:val="ListParagraph"/>
        <w:numPr>
          <w:ilvl w:val="0"/>
          <w:numId w:val="10"/>
        </w:numPr>
      </w:pPr>
      <w:proofErr w:type="spellStart"/>
      <w:r w:rsidRPr="00310BA5">
        <w:rPr>
          <w:b/>
          <w:bCs/>
        </w:rPr>
        <w:t>Rest</w:t>
      </w:r>
      <w:proofErr w:type="spellEnd"/>
      <w:r w:rsidRPr="00310BA5">
        <w:rPr>
          <w:b/>
          <w:bCs/>
        </w:rPr>
        <w:t xml:space="preserve"> of the World; </w:t>
      </w:r>
      <w:proofErr w:type="spellStart"/>
      <w:r w:rsidRPr="00310BA5">
        <w:rPr>
          <w:b/>
          <w:bCs/>
        </w:rPr>
        <w:t>Foreign</w:t>
      </w:r>
      <w:proofErr w:type="spellEnd"/>
      <w:r w:rsidRPr="00310BA5">
        <w:rPr>
          <w:b/>
          <w:bCs/>
        </w:rPr>
        <w:t xml:space="preserve"> Direct Investment in U.S. Real </w:t>
      </w:r>
      <w:proofErr w:type="spellStart"/>
      <w:r w:rsidRPr="00310BA5">
        <w:rPr>
          <w:b/>
          <w:bCs/>
        </w:rPr>
        <w:t>Estate</w:t>
      </w:r>
      <w:proofErr w:type="spellEnd"/>
      <w:r w:rsidRPr="00310BA5">
        <w:rPr>
          <w:b/>
          <w:bCs/>
        </w:rPr>
        <w:t xml:space="preserve"> Business (</w:t>
      </w:r>
      <w:proofErr w:type="spellStart"/>
      <w:r w:rsidRPr="00310BA5">
        <w:rPr>
          <w:b/>
          <w:bCs/>
        </w:rPr>
        <w:t>Market</w:t>
      </w:r>
      <w:proofErr w:type="spellEnd"/>
      <w:r w:rsidRPr="00310BA5">
        <w:rPr>
          <w:b/>
          <w:bCs/>
        </w:rPr>
        <w:t xml:space="preserve"> Value); Asset, </w:t>
      </w:r>
      <w:proofErr w:type="spellStart"/>
      <w:r w:rsidRPr="00310BA5">
        <w:rPr>
          <w:b/>
          <w:bCs/>
        </w:rPr>
        <w:t>Level</w:t>
      </w:r>
      <w:proofErr w:type="spellEnd"/>
      <w:r>
        <w:rPr>
          <w:b/>
          <w:bCs/>
        </w:rPr>
        <w:t xml:space="preserve"> </w:t>
      </w:r>
      <w:r w:rsidRPr="00310BA5">
        <w:rPr>
          <w:b/>
          <w:bCs/>
        </w:rPr>
        <w:sym w:font="Wingdings" w:char="F0E0"/>
      </w:r>
      <w:r>
        <w:rPr>
          <w:b/>
          <w:bCs/>
        </w:rPr>
        <w:t xml:space="preserve"> </w:t>
      </w:r>
      <w:bookmarkStart w:id="7" w:name="_Hlk182763949"/>
      <w:r w:rsidRPr="005B29B7">
        <w:rPr>
          <w:b/>
          <w:bCs/>
          <w:color w:val="FF0000"/>
        </w:rPr>
        <w:t>(Trimestrielle)</w:t>
      </w:r>
      <w:bookmarkEnd w:id="7"/>
      <w:r w:rsidRPr="00310BA5">
        <w:br/>
      </w:r>
      <w:r w:rsidRPr="00310BA5">
        <w:rPr>
          <w:b/>
          <w:bCs/>
        </w:rPr>
        <w:t>FRED Code</w:t>
      </w:r>
      <w:r w:rsidRPr="00310BA5">
        <w:t>: BOGZ1FL265014003Q</w:t>
      </w:r>
      <w:r w:rsidRPr="00310BA5">
        <w:br/>
      </w:r>
      <w:r w:rsidRPr="00310BA5">
        <w:rPr>
          <w:b/>
          <w:bCs/>
        </w:rPr>
        <w:t>Description</w:t>
      </w:r>
      <w:r w:rsidRPr="00310BA5">
        <w:t xml:space="preserve"> : Cette variable mesure le niveau des investissements directs étrangers dans le secteur immobilier aux États-Unis, évalué à valeur marchande. Elle reflète l'ampleur des investissements étrangers dans les actifs immobiliers aux États-Unis, un secteur stratégique pour l'économie. Cette série permet d'analyser l'impact des investissements étrangers sur le marché immobilier américain et de suivre les tendances d'internationalisation des biens immobiliers.</w:t>
      </w:r>
    </w:p>
    <w:p w14:paraId="79397D11" w14:textId="77777777" w:rsidR="00675DBA" w:rsidRDefault="00675DBA" w:rsidP="00280019"/>
    <w:p w14:paraId="6D67E920" w14:textId="2ADCA882" w:rsidR="00D73296" w:rsidRDefault="00161EC8" w:rsidP="00161EC8">
      <w:pPr>
        <w:pStyle w:val="ListParagraph"/>
        <w:numPr>
          <w:ilvl w:val="0"/>
          <w:numId w:val="10"/>
        </w:numPr>
      </w:pPr>
      <w:proofErr w:type="spellStart"/>
      <w:r w:rsidRPr="00161EC8">
        <w:rPr>
          <w:b/>
          <w:bCs/>
        </w:rPr>
        <w:t>Rest</w:t>
      </w:r>
      <w:proofErr w:type="spellEnd"/>
      <w:r w:rsidRPr="00161EC8">
        <w:rPr>
          <w:b/>
          <w:bCs/>
        </w:rPr>
        <w:t xml:space="preserve"> of the World; </w:t>
      </w:r>
      <w:proofErr w:type="spellStart"/>
      <w:r w:rsidRPr="00161EC8">
        <w:rPr>
          <w:b/>
          <w:bCs/>
        </w:rPr>
        <w:t>Foreign</w:t>
      </w:r>
      <w:proofErr w:type="spellEnd"/>
      <w:r w:rsidRPr="00161EC8">
        <w:rPr>
          <w:b/>
          <w:bCs/>
        </w:rPr>
        <w:t xml:space="preserve"> Direct Investment in U.S. Real </w:t>
      </w:r>
      <w:proofErr w:type="spellStart"/>
      <w:r w:rsidRPr="00161EC8">
        <w:rPr>
          <w:b/>
          <w:bCs/>
        </w:rPr>
        <w:t>Estate</w:t>
      </w:r>
      <w:proofErr w:type="spellEnd"/>
      <w:r w:rsidRPr="00161EC8">
        <w:rPr>
          <w:b/>
          <w:bCs/>
        </w:rPr>
        <w:t xml:space="preserve"> Business (</w:t>
      </w:r>
      <w:proofErr w:type="spellStart"/>
      <w:r w:rsidRPr="00161EC8">
        <w:rPr>
          <w:b/>
          <w:bCs/>
        </w:rPr>
        <w:t>Market</w:t>
      </w:r>
      <w:proofErr w:type="spellEnd"/>
      <w:r w:rsidRPr="00161EC8">
        <w:rPr>
          <w:b/>
          <w:bCs/>
        </w:rPr>
        <w:t xml:space="preserve"> Value); Asset, </w:t>
      </w:r>
      <w:proofErr w:type="spellStart"/>
      <w:r w:rsidRPr="00161EC8">
        <w:rPr>
          <w:b/>
          <w:bCs/>
        </w:rPr>
        <w:t>Revaluation</w:t>
      </w:r>
      <w:proofErr w:type="spellEnd"/>
      <w:r>
        <w:rPr>
          <w:b/>
          <w:bCs/>
        </w:rPr>
        <w:t xml:space="preserve"> </w:t>
      </w:r>
      <w:r w:rsidRPr="00161EC8">
        <w:rPr>
          <w:b/>
          <w:bCs/>
        </w:rPr>
        <w:sym w:font="Wingdings" w:char="F0E0"/>
      </w:r>
      <w:r>
        <w:rPr>
          <w:b/>
          <w:bCs/>
        </w:rPr>
        <w:t xml:space="preserve"> </w:t>
      </w:r>
      <w:bookmarkStart w:id="8" w:name="_Hlk182764145"/>
      <w:r w:rsidRPr="005B29B7">
        <w:rPr>
          <w:b/>
          <w:bCs/>
          <w:color w:val="FF0000"/>
        </w:rPr>
        <w:t>(Trimestrielle)</w:t>
      </w:r>
      <w:bookmarkEnd w:id="8"/>
      <w:r w:rsidRPr="00161EC8">
        <w:br/>
      </w:r>
      <w:r w:rsidRPr="00161EC8">
        <w:rPr>
          <w:b/>
          <w:bCs/>
        </w:rPr>
        <w:t>FRED Code</w:t>
      </w:r>
      <w:r w:rsidRPr="00161EC8">
        <w:t>: BOGZ1FR265014003Q</w:t>
      </w:r>
      <w:r w:rsidRPr="00161EC8">
        <w:br/>
      </w:r>
      <w:r w:rsidRPr="00161EC8">
        <w:rPr>
          <w:b/>
          <w:bCs/>
        </w:rPr>
        <w:t>Description</w:t>
      </w:r>
      <w:r w:rsidRPr="00161EC8">
        <w:t xml:space="preserve"> : Cette variable mesure la réévaluation des investissements directs étrangers dans le secteur immobilier américain, évalués à valeur marchande. Elle reflète les changements dans la valeur des actifs immobiliers étrangers détenus aux États-Unis, ce qui est essentiel pour analyser les fluctuations des investissements étrangers dans le marché immobilier en fonction des conditions économiques et des tendances du marché.</w:t>
      </w:r>
    </w:p>
    <w:p w14:paraId="071BA0E4" w14:textId="77777777" w:rsidR="00D73296" w:rsidRDefault="00D73296" w:rsidP="00280019"/>
    <w:p w14:paraId="492330AC" w14:textId="0606FF65" w:rsidR="00D73296" w:rsidRDefault="00CD73AF" w:rsidP="00CD73AF">
      <w:pPr>
        <w:pStyle w:val="ListParagraph"/>
        <w:numPr>
          <w:ilvl w:val="0"/>
          <w:numId w:val="10"/>
        </w:numPr>
      </w:pPr>
      <w:r w:rsidRPr="00CD73AF">
        <w:rPr>
          <w:b/>
          <w:bCs/>
        </w:rPr>
        <w:lastRenderedPageBreak/>
        <w:t xml:space="preserve">Holding </w:t>
      </w:r>
      <w:proofErr w:type="spellStart"/>
      <w:r w:rsidRPr="00CD73AF">
        <w:rPr>
          <w:b/>
          <w:bCs/>
        </w:rPr>
        <w:t>Companies</w:t>
      </w:r>
      <w:proofErr w:type="spellEnd"/>
      <w:r w:rsidRPr="00CD73AF">
        <w:rPr>
          <w:b/>
          <w:bCs/>
        </w:rPr>
        <w:t xml:space="preserve">; </w:t>
      </w:r>
      <w:proofErr w:type="spellStart"/>
      <w:r w:rsidRPr="00CD73AF">
        <w:rPr>
          <w:b/>
          <w:bCs/>
        </w:rPr>
        <w:t>Other</w:t>
      </w:r>
      <w:proofErr w:type="spellEnd"/>
      <w:r w:rsidRPr="00CD73AF">
        <w:rPr>
          <w:b/>
          <w:bCs/>
        </w:rPr>
        <w:t xml:space="preserve"> Investment in Domestic and </w:t>
      </w:r>
      <w:proofErr w:type="spellStart"/>
      <w:r w:rsidRPr="00CD73AF">
        <w:rPr>
          <w:b/>
          <w:bCs/>
        </w:rPr>
        <w:t>Foreign</w:t>
      </w:r>
      <w:proofErr w:type="spellEnd"/>
      <w:r w:rsidRPr="00CD73AF">
        <w:rPr>
          <w:b/>
          <w:bCs/>
        </w:rPr>
        <w:t xml:space="preserve"> </w:t>
      </w:r>
      <w:proofErr w:type="spellStart"/>
      <w:r w:rsidRPr="00CD73AF">
        <w:rPr>
          <w:b/>
          <w:bCs/>
        </w:rPr>
        <w:t>Nonbank</w:t>
      </w:r>
      <w:proofErr w:type="spellEnd"/>
      <w:r w:rsidRPr="00CD73AF">
        <w:rPr>
          <w:b/>
          <w:bCs/>
        </w:rPr>
        <w:t xml:space="preserve"> </w:t>
      </w:r>
      <w:proofErr w:type="spellStart"/>
      <w:r w:rsidRPr="00CD73AF">
        <w:rPr>
          <w:b/>
          <w:bCs/>
        </w:rPr>
        <w:t>Affiliates</w:t>
      </w:r>
      <w:proofErr w:type="spellEnd"/>
      <w:r w:rsidRPr="00CD73AF">
        <w:rPr>
          <w:b/>
          <w:bCs/>
        </w:rPr>
        <w:t xml:space="preserve">; Asset, </w:t>
      </w:r>
      <w:proofErr w:type="spellStart"/>
      <w:r w:rsidRPr="00CD73AF">
        <w:rPr>
          <w:b/>
          <w:bCs/>
        </w:rPr>
        <w:t>Level</w:t>
      </w:r>
      <w:proofErr w:type="spellEnd"/>
      <w:r w:rsidRPr="00CD73AF">
        <w:rPr>
          <w:b/>
          <w:bCs/>
        </w:rPr>
        <w:t xml:space="preserve"> </w:t>
      </w:r>
      <w:r w:rsidRPr="00CD73AF">
        <w:rPr>
          <w:b/>
          <w:bCs/>
          <w:lang w:val="en-CA"/>
        </w:rPr>
        <w:sym w:font="Wingdings" w:char="F0E0"/>
      </w:r>
      <w:r w:rsidRPr="00CD73AF">
        <w:rPr>
          <w:b/>
          <w:bCs/>
        </w:rPr>
        <w:t xml:space="preserve"> </w:t>
      </w:r>
      <w:bookmarkStart w:id="9" w:name="_Hlk182764234"/>
      <w:r w:rsidRPr="005B29B7">
        <w:rPr>
          <w:b/>
          <w:bCs/>
          <w:color w:val="FF0000"/>
        </w:rPr>
        <w:t>(Trimestrielle)</w:t>
      </w:r>
      <w:bookmarkEnd w:id="9"/>
      <w:r w:rsidRPr="00CD73AF">
        <w:br/>
      </w:r>
      <w:r w:rsidRPr="00CD73AF">
        <w:rPr>
          <w:b/>
          <w:bCs/>
        </w:rPr>
        <w:t>FRED Code</w:t>
      </w:r>
      <w:r w:rsidRPr="00CD73AF">
        <w:t>: BOGZ1FL733094713Q</w:t>
      </w:r>
      <w:r w:rsidRPr="00CD73AF">
        <w:br/>
      </w:r>
      <w:r w:rsidRPr="00CD73AF">
        <w:rPr>
          <w:b/>
          <w:bCs/>
        </w:rPr>
        <w:t>Description</w:t>
      </w:r>
      <w:r w:rsidRPr="00CD73AF">
        <w:t xml:space="preserve"> : Cette variable mesure le niveau des investissements des sociétés de portefeuille dans des filiales non bancaires domestiques et étrangères. Elle reflète l'engagement financier des sociétés de portefeuille dans des entreprises non bancaires, tant sur le marché intérieur qu'international. Cette série est importante pour analyser les stratégies d'investissement des sociétés de portefeuille et leur impact sur l'économie en termes de diversification des actifs et de relations économiques internationales.</w:t>
      </w:r>
    </w:p>
    <w:p w14:paraId="6C032589" w14:textId="77777777" w:rsidR="00D73296" w:rsidRDefault="00D73296" w:rsidP="00280019"/>
    <w:p w14:paraId="3100BA53" w14:textId="1FB036CA" w:rsidR="00CD73AF" w:rsidRDefault="000A1218" w:rsidP="000A1218">
      <w:pPr>
        <w:pStyle w:val="ListParagraph"/>
        <w:numPr>
          <w:ilvl w:val="0"/>
          <w:numId w:val="10"/>
        </w:numPr>
      </w:pPr>
      <w:r w:rsidRPr="000A1218">
        <w:rPr>
          <w:b/>
          <w:bCs/>
        </w:rPr>
        <w:t xml:space="preserve">Holding </w:t>
      </w:r>
      <w:proofErr w:type="spellStart"/>
      <w:r w:rsidRPr="000A1218">
        <w:rPr>
          <w:b/>
          <w:bCs/>
        </w:rPr>
        <w:t>Companies</w:t>
      </w:r>
      <w:proofErr w:type="spellEnd"/>
      <w:r w:rsidRPr="000A1218">
        <w:rPr>
          <w:b/>
          <w:bCs/>
        </w:rPr>
        <w:t xml:space="preserve">; </w:t>
      </w:r>
      <w:proofErr w:type="spellStart"/>
      <w:r w:rsidRPr="000A1218">
        <w:rPr>
          <w:b/>
          <w:bCs/>
        </w:rPr>
        <w:t>Equity</w:t>
      </w:r>
      <w:proofErr w:type="spellEnd"/>
      <w:r w:rsidRPr="000A1218">
        <w:rPr>
          <w:b/>
          <w:bCs/>
        </w:rPr>
        <w:t xml:space="preserve"> Investment in Domestic and </w:t>
      </w:r>
      <w:proofErr w:type="spellStart"/>
      <w:r w:rsidRPr="000A1218">
        <w:rPr>
          <w:b/>
          <w:bCs/>
        </w:rPr>
        <w:t>Foreign</w:t>
      </w:r>
      <w:proofErr w:type="spellEnd"/>
      <w:r w:rsidRPr="000A1218">
        <w:rPr>
          <w:b/>
          <w:bCs/>
        </w:rPr>
        <w:t xml:space="preserve"> </w:t>
      </w:r>
      <w:proofErr w:type="spellStart"/>
      <w:r w:rsidRPr="000A1218">
        <w:rPr>
          <w:b/>
          <w:bCs/>
        </w:rPr>
        <w:t>Nonbank</w:t>
      </w:r>
      <w:proofErr w:type="spellEnd"/>
      <w:r w:rsidRPr="000A1218">
        <w:rPr>
          <w:b/>
          <w:bCs/>
        </w:rPr>
        <w:t xml:space="preserve"> </w:t>
      </w:r>
      <w:proofErr w:type="spellStart"/>
      <w:r w:rsidRPr="000A1218">
        <w:rPr>
          <w:b/>
          <w:bCs/>
        </w:rPr>
        <w:t>Affiliates</w:t>
      </w:r>
      <w:proofErr w:type="spellEnd"/>
      <w:r w:rsidRPr="000A1218">
        <w:rPr>
          <w:b/>
          <w:bCs/>
        </w:rPr>
        <w:t>; Asset, Transactions</w:t>
      </w:r>
      <w:r>
        <w:rPr>
          <w:b/>
          <w:bCs/>
        </w:rPr>
        <w:t xml:space="preserve"> </w:t>
      </w:r>
      <w:r w:rsidRPr="000A1218">
        <w:rPr>
          <w:b/>
          <w:bCs/>
        </w:rPr>
        <w:sym w:font="Wingdings" w:char="F0E0"/>
      </w:r>
      <w:r>
        <w:rPr>
          <w:b/>
          <w:bCs/>
        </w:rPr>
        <w:t xml:space="preserve"> </w:t>
      </w:r>
      <w:bookmarkStart w:id="10" w:name="_Hlk182764331"/>
      <w:r w:rsidRPr="005B29B7">
        <w:rPr>
          <w:b/>
          <w:bCs/>
          <w:color w:val="FF0000"/>
        </w:rPr>
        <w:t>(Trimestrielle)</w:t>
      </w:r>
      <w:bookmarkEnd w:id="10"/>
      <w:r w:rsidRPr="000A1218">
        <w:br/>
      </w:r>
      <w:r w:rsidRPr="000A1218">
        <w:rPr>
          <w:b/>
          <w:bCs/>
        </w:rPr>
        <w:t>FRED Code</w:t>
      </w:r>
      <w:r w:rsidRPr="000A1218">
        <w:t>: BOGZ1FA733094613Q</w:t>
      </w:r>
      <w:r w:rsidRPr="000A1218">
        <w:br/>
      </w:r>
      <w:r w:rsidRPr="000A1218">
        <w:rPr>
          <w:b/>
          <w:bCs/>
        </w:rPr>
        <w:t>Description</w:t>
      </w:r>
      <w:r w:rsidRPr="000A1218">
        <w:t xml:space="preserve"> : Cette variable mesure les transactions d'investissement en actions des sociétés de portefeuille dans des filiales non bancaires domestiques et étrangères. Elle reflète les mouvements financiers liés aux investissements en capital dans ces filiales, tant au niveau national qu'international. Cette série est utile pour analyser l'évolution des investissements en </w:t>
      </w:r>
      <w:proofErr w:type="spellStart"/>
      <w:r w:rsidRPr="000A1218">
        <w:t>equity</w:t>
      </w:r>
      <w:proofErr w:type="spellEnd"/>
      <w:r w:rsidRPr="000A1218">
        <w:t xml:space="preserve"> des sociétés de portefeuille et leur rôle dans la gestion des investissements non bancaires à travers les frontières.</w:t>
      </w:r>
    </w:p>
    <w:p w14:paraId="2AF4287C" w14:textId="77777777" w:rsidR="00D73296" w:rsidRDefault="00D73296" w:rsidP="00280019"/>
    <w:p w14:paraId="72A7D9F4" w14:textId="36634611" w:rsidR="00D73296" w:rsidRDefault="00822E03" w:rsidP="00822E03">
      <w:pPr>
        <w:pStyle w:val="ListParagraph"/>
        <w:numPr>
          <w:ilvl w:val="0"/>
          <w:numId w:val="10"/>
        </w:numPr>
      </w:pPr>
      <w:proofErr w:type="spellStart"/>
      <w:r w:rsidRPr="00822E03">
        <w:rPr>
          <w:b/>
          <w:bCs/>
        </w:rPr>
        <w:t>Rest</w:t>
      </w:r>
      <w:proofErr w:type="spellEnd"/>
      <w:r w:rsidRPr="00822E03">
        <w:rPr>
          <w:b/>
          <w:bCs/>
        </w:rPr>
        <w:t xml:space="preserve"> of the World; </w:t>
      </w:r>
      <w:proofErr w:type="spellStart"/>
      <w:r w:rsidRPr="00822E03">
        <w:rPr>
          <w:b/>
          <w:bCs/>
        </w:rPr>
        <w:t>Treasury</w:t>
      </w:r>
      <w:proofErr w:type="spellEnd"/>
      <w:r w:rsidRPr="00822E03">
        <w:rPr>
          <w:b/>
          <w:bCs/>
        </w:rPr>
        <w:t xml:space="preserve"> Securities </w:t>
      </w:r>
      <w:proofErr w:type="spellStart"/>
      <w:r w:rsidRPr="00822E03">
        <w:rPr>
          <w:b/>
          <w:bCs/>
        </w:rPr>
        <w:t>Held</w:t>
      </w:r>
      <w:proofErr w:type="spellEnd"/>
      <w:r w:rsidRPr="00822E03">
        <w:rPr>
          <w:b/>
          <w:bCs/>
        </w:rPr>
        <w:t xml:space="preserve"> by </w:t>
      </w:r>
      <w:proofErr w:type="spellStart"/>
      <w:r w:rsidRPr="00822E03">
        <w:rPr>
          <w:b/>
          <w:bCs/>
        </w:rPr>
        <w:t>Private</w:t>
      </w:r>
      <w:proofErr w:type="spellEnd"/>
      <w:r w:rsidRPr="00822E03">
        <w:rPr>
          <w:b/>
          <w:bCs/>
        </w:rPr>
        <w:t xml:space="preserve"> </w:t>
      </w:r>
      <w:proofErr w:type="spellStart"/>
      <w:r w:rsidRPr="00822E03">
        <w:rPr>
          <w:b/>
          <w:bCs/>
        </w:rPr>
        <w:t>Foreigners</w:t>
      </w:r>
      <w:proofErr w:type="spellEnd"/>
      <w:r w:rsidRPr="00822E03">
        <w:rPr>
          <w:b/>
          <w:bCs/>
        </w:rPr>
        <w:t xml:space="preserve">; Asset, </w:t>
      </w:r>
      <w:proofErr w:type="spellStart"/>
      <w:r w:rsidRPr="00822E03">
        <w:rPr>
          <w:b/>
          <w:bCs/>
        </w:rPr>
        <w:t>Level</w:t>
      </w:r>
      <w:proofErr w:type="spellEnd"/>
      <w:r>
        <w:rPr>
          <w:b/>
          <w:bCs/>
        </w:rPr>
        <w:t xml:space="preserve"> </w:t>
      </w:r>
      <w:r w:rsidRPr="00822E03">
        <w:rPr>
          <w:b/>
          <w:bCs/>
        </w:rPr>
        <w:sym w:font="Wingdings" w:char="F0E0"/>
      </w:r>
      <w:r>
        <w:rPr>
          <w:b/>
          <w:bCs/>
        </w:rPr>
        <w:t xml:space="preserve"> </w:t>
      </w:r>
      <w:r w:rsidRPr="005B29B7">
        <w:rPr>
          <w:b/>
          <w:bCs/>
          <w:color w:val="FF0000"/>
        </w:rPr>
        <w:t>(Trimestrielle)</w:t>
      </w:r>
      <w:r w:rsidRPr="00822E03">
        <w:br/>
      </w:r>
      <w:r w:rsidRPr="00822E03">
        <w:rPr>
          <w:b/>
          <w:bCs/>
        </w:rPr>
        <w:t>FRED Code</w:t>
      </w:r>
      <w:r w:rsidRPr="00822E03">
        <w:t>: BOGZ1FL263061145Q</w:t>
      </w:r>
      <w:r w:rsidRPr="00822E03">
        <w:br/>
      </w:r>
      <w:r w:rsidRPr="00822E03">
        <w:rPr>
          <w:b/>
          <w:bCs/>
        </w:rPr>
        <w:t>Description</w:t>
      </w:r>
      <w:r w:rsidRPr="00822E03">
        <w:t xml:space="preserve"> : Cette variable mesure le niveau des titres du Trésor détenus par des étrangers privés. Elle reflète l'ampleur des investissements étrangers dans la dette publique américaine, ce qui est un indicateur clé de la demande internationale pour les actifs sûrs tels que les bons du Trésor américain. Suivre cette variable permet d'analyser l'impact des investissements étrangers sur la politique fiscale et la stabilité financière des États-Unis.</w:t>
      </w:r>
    </w:p>
    <w:p w14:paraId="2E8A2CDB" w14:textId="77777777" w:rsidR="00D73296" w:rsidRDefault="00D73296" w:rsidP="00280019"/>
    <w:p w14:paraId="03878503" w14:textId="77777777" w:rsidR="00822E03" w:rsidRDefault="00822E03" w:rsidP="00280019"/>
    <w:p w14:paraId="221F3076" w14:textId="77777777" w:rsidR="00D73296" w:rsidRDefault="00D73296" w:rsidP="00280019"/>
    <w:p w14:paraId="1DCF2FC4" w14:textId="77777777" w:rsidR="00D73296" w:rsidRDefault="00D73296" w:rsidP="00280019"/>
    <w:p w14:paraId="27ED2534" w14:textId="77777777" w:rsidR="00D73296" w:rsidRDefault="00D73296" w:rsidP="00280019"/>
    <w:p w14:paraId="05845229" w14:textId="77777777" w:rsidR="00D73296" w:rsidRDefault="00D73296" w:rsidP="00280019"/>
    <w:p w14:paraId="6F3E5605" w14:textId="77777777" w:rsidR="00D73296" w:rsidRDefault="00D73296" w:rsidP="00280019"/>
    <w:p w14:paraId="7E0219E8" w14:textId="77777777" w:rsidR="00D73296" w:rsidRDefault="00D73296" w:rsidP="00280019"/>
    <w:p w14:paraId="123E90EE" w14:textId="77777777" w:rsidR="00D73296" w:rsidRDefault="00D73296" w:rsidP="00280019"/>
    <w:p w14:paraId="6A831936" w14:textId="77777777" w:rsidR="00D73296" w:rsidRPr="00D42CED" w:rsidRDefault="00D73296" w:rsidP="00280019"/>
    <w:p w14:paraId="439327A3" w14:textId="32AD75E7" w:rsidR="00D92D79" w:rsidRDefault="00280019" w:rsidP="00AF40D1">
      <w:pPr>
        <w:pStyle w:val="Heading1"/>
      </w:pPr>
      <w:r w:rsidRPr="00D42CED">
        <w:lastRenderedPageBreak/>
        <w:t>Catégorie : Anticipations d'Inflatio</w:t>
      </w:r>
      <w:r w:rsidR="00AF40D1">
        <w:t>n</w:t>
      </w:r>
    </w:p>
    <w:p w14:paraId="2A2E4CF6" w14:textId="77777777" w:rsidR="00AF40D1" w:rsidRDefault="00AF40D1" w:rsidP="00AF40D1"/>
    <w:p w14:paraId="5D7EED07" w14:textId="452A7E96" w:rsidR="00AF40D1" w:rsidRPr="00AF40D1" w:rsidRDefault="008B5BAF" w:rsidP="00AF40D1">
      <w:r w:rsidRPr="008B5BAF">
        <w:rPr>
          <w:b/>
          <w:bCs/>
        </w:rPr>
        <w:t xml:space="preserve">10-Year </w:t>
      </w:r>
      <w:proofErr w:type="spellStart"/>
      <w:r w:rsidRPr="008B5BAF">
        <w:rPr>
          <w:b/>
          <w:bCs/>
        </w:rPr>
        <w:t>Expected</w:t>
      </w:r>
      <w:proofErr w:type="spellEnd"/>
      <w:r w:rsidRPr="008B5BAF">
        <w:rPr>
          <w:b/>
          <w:bCs/>
        </w:rPr>
        <w:t xml:space="preserve"> Inflation</w:t>
      </w:r>
      <w:r w:rsidRPr="008B5BAF">
        <w:br/>
      </w:r>
      <w:r w:rsidRPr="008B5BAF">
        <w:rPr>
          <w:b/>
          <w:bCs/>
        </w:rPr>
        <w:t>FRED Code</w:t>
      </w:r>
      <w:r w:rsidRPr="008B5BAF">
        <w:t>: EXPINF10YR</w:t>
      </w:r>
      <w:r w:rsidRPr="008B5BAF">
        <w:br/>
      </w:r>
      <w:r w:rsidRPr="008B5BAF">
        <w:rPr>
          <w:b/>
          <w:bCs/>
        </w:rPr>
        <w:t>Description</w:t>
      </w:r>
      <w:r w:rsidRPr="008B5BAF">
        <w:t xml:space="preserve"> : Cette variable mesure les attentes d'inflation sur 10 ans, fournissant une estimation de l'inflation future anticipée par les acteurs économiques. Elle est cruciale pour les décisions économiques et financières, car elle influence les politiques monétaires, les taux d'intérêt et les stratégies d'investissement à long terme. Ce taux d'inflation attendu est un indicateur clé pour évaluer les anticipations des consommateurs, des entreprises et des investisseurs vis-à-vis de l'évolution des prix dans l'économie.</w:t>
      </w:r>
    </w:p>
    <w:p w14:paraId="4D6F5E20" w14:textId="77777777" w:rsidR="00D92D79" w:rsidRPr="00D42CED" w:rsidRDefault="00D92D79" w:rsidP="00947F18"/>
    <w:p w14:paraId="36F6193B" w14:textId="77777777" w:rsidR="00D92D79" w:rsidRPr="00D42CED" w:rsidRDefault="00D92D79" w:rsidP="00947F18"/>
    <w:p w14:paraId="32C5BD2C" w14:textId="77777777" w:rsidR="00947F18" w:rsidRPr="00D42CED" w:rsidRDefault="00947F18" w:rsidP="00947F18"/>
    <w:p w14:paraId="2F0996A1" w14:textId="77777777" w:rsidR="00947F18" w:rsidRDefault="00947F18" w:rsidP="00947F18">
      <w:pPr>
        <w:rPr>
          <w:b/>
          <w:bCs/>
        </w:rPr>
      </w:pPr>
    </w:p>
    <w:p w14:paraId="601169E3" w14:textId="77777777" w:rsidR="00947F18" w:rsidRDefault="00947F18" w:rsidP="00947F18">
      <w:pPr>
        <w:rPr>
          <w:b/>
          <w:bCs/>
        </w:rPr>
      </w:pPr>
    </w:p>
    <w:p w14:paraId="0F85B609" w14:textId="77777777" w:rsidR="00947F18" w:rsidRDefault="00947F18" w:rsidP="00947F18">
      <w:pPr>
        <w:rPr>
          <w:b/>
          <w:bCs/>
        </w:rPr>
      </w:pPr>
    </w:p>
    <w:p w14:paraId="395F70CA" w14:textId="77777777" w:rsidR="00947F18" w:rsidRDefault="00947F18" w:rsidP="00947F18">
      <w:pPr>
        <w:rPr>
          <w:b/>
          <w:bCs/>
        </w:rPr>
      </w:pPr>
    </w:p>
    <w:p w14:paraId="6F384F10" w14:textId="77777777" w:rsidR="00947F18" w:rsidRDefault="00947F18" w:rsidP="00947F18">
      <w:pPr>
        <w:rPr>
          <w:b/>
          <w:bCs/>
        </w:rPr>
      </w:pPr>
    </w:p>
    <w:p w14:paraId="0B560E0A" w14:textId="77777777" w:rsidR="00947F18" w:rsidRDefault="00947F18" w:rsidP="00947F18">
      <w:pPr>
        <w:rPr>
          <w:b/>
          <w:bCs/>
        </w:rPr>
      </w:pPr>
    </w:p>
    <w:p w14:paraId="6C67A0B2" w14:textId="77777777" w:rsidR="00947F18" w:rsidRDefault="00947F18" w:rsidP="00947F18">
      <w:pPr>
        <w:rPr>
          <w:b/>
          <w:bCs/>
        </w:rPr>
      </w:pPr>
    </w:p>
    <w:p w14:paraId="562425DE" w14:textId="77777777" w:rsidR="00947F18" w:rsidRDefault="00947F18" w:rsidP="00947F18">
      <w:pPr>
        <w:rPr>
          <w:b/>
          <w:bCs/>
        </w:rPr>
      </w:pPr>
    </w:p>
    <w:p w14:paraId="3F966520" w14:textId="77777777" w:rsidR="00947F18" w:rsidRDefault="00947F18" w:rsidP="00947F18">
      <w:pPr>
        <w:rPr>
          <w:b/>
          <w:bCs/>
        </w:rPr>
      </w:pPr>
    </w:p>
    <w:p w14:paraId="60B17922" w14:textId="77777777" w:rsidR="00947F18" w:rsidRDefault="00947F18" w:rsidP="00947F18">
      <w:pPr>
        <w:rPr>
          <w:b/>
          <w:bCs/>
        </w:rPr>
      </w:pPr>
    </w:p>
    <w:p w14:paraId="546B6660" w14:textId="77777777" w:rsidR="00947F18" w:rsidRDefault="00947F18" w:rsidP="00947F18">
      <w:pPr>
        <w:rPr>
          <w:b/>
          <w:bCs/>
        </w:rPr>
      </w:pPr>
    </w:p>
    <w:p w14:paraId="2D312DA9" w14:textId="77777777" w:rsidR="00947F18" w:rsidRDefault="00947F18" w:rsidP="00947F18">
      <w:pPr>
        <w:rPr>
          <w:b/>
          <w:bCs/>
        </w:rPr>
      </w:pPr>
    </w:p>
    <w:p w14:paraId="7D52762B" w14:textId="77777777" w:rsidR="00947F18" w:rsidRDefault="00947F18" w:rsidP="00947F18">
      <w:pPr>
        <w:rPr>
          <w:b/>
          <w:bCs/>
        </w:rPr>
      </w:pPr>
    </w:p>
    <w:p w14:paraId="2207E432" w14:textId="77777777" w:rsidR="00947F18" w:rsidRDefault="00947F18" w:rsidP="00947F18">
      <w:pPr>
        <w:rPr>
          <w:b/>
          <w:bCs/>
        </w:rPr>
      </w:pPr>
    </w:p>
    <w:p w14:paraId="2FC72034" w14:textId="77777777" w:rsidR="00947F18" w:rsidRDefault="00947F18" w:rsidP="00947F18">
      <w:pPr>
        <w:rPr>
          <w:b/>
          <w:bCs/>
        </w:rPr>
      </w:pPr>
    </w:p>
    <w:p w14:paraId="63556104" w14:textId="77777777" w:rsidR="00947F18" w:rsidRDefault="00947F18" w:rsidP="00947F18">
      <w:pPr>
        <w:rPr>
          <w:b/>
          <w:bCs/>
        </w:rPr>
      </w:pPr>
    </w:p>
    <w:p w14:paraId="18DBB0C4" w14:textId="0270F1B4" w:rsidR="00233AEE" w:rsidRDefault="00233AEE" w:rsidP="00233AEE"/>
    <w:p w14:paraId="44EC4C31" w14:textId="77777777" w:rsidR="00233AEE" w:rsidRPr="00233AEE" w:rsidRDefault="00233AEE" w:rsidP="00233AEE">
      <w:pPr>
        <w:rPr>
          <w:b/>
          <w:bCs/>
        </w:rPr>
      </w:pPr>
    </w:p>
    <w:sectPr w:rsidR="00233AEE" w:rsidRPr="00233A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40A06"/>
    <w:multiLevelType w:val="hybridMultilevel"/>
    <w:tmpl w:val="925417E0"/>
    <w:lvl w:ilvl="0" w:tplc="5642AAC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874B77"/>
    <w:multiLevelType w:val="hybridMultilevel"/>
    <w:tmpl w:val="BC00E0C6"/>
    <w:lvl w:ilvl="0" w:tplc="90E409D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A15E40"/>
    <w:multiLevelType w:val="hybridMultilevel"/>
    <w:tmpl w:val="D668F0FA"/>
    <w:lvl w:ilvl="0" w:tplc="937EB5E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713CB2"/>
    <w:multiLevelType w:val="hybridMultilevel"/>
    <w:tmpl w:val="F40C2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8FB1B07"/>
    <w:multiLevelType w:val="hybridMultilevel"/>
    <w:tmpl w:val="C2723E56"/>
    <w:lvl w:ilvl="0" w:tplc="861C419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F291A1D"/>
    <w:multiLevelType w:val="multilevel"/>
    <w:tmpl w:val="E918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B6080"/>
    <w:multiLevelType w:val="hybridMultilevel"/>
    <w:tmpl w:val="03C883FA"/>
    <w:lvl w:ilvl="0" w:tplc="91D4F766">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1F6DBC"/>
    <w:multiLevelType w:val="hybridMultilevel"/>
    <w:tmpl w:val="CEA89E2A"/>
    <w:lvl w:ilvl="0" w:tplc="E270621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49D06C8"/>
    <w:multiLevelType w:val="hybridMultilevel"/>
    <w:tmpl w:val="6374CAD0"/>
    <w:lvl w:ilvl="0" w:tplc="8D0A5DC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7041BF9"/>
    <w:multiLevelType w:val="hybridMultilevel"/>
    <w:tmpl w:val="16D40A72"/>
    <w:lvl w:ilvl="0" w:tplc="F28EF35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5359670">
    <w:abstractNumId w:val="3"/>
  </w:num>
  <w:num w:numId="2" w16cid:durableId="849099519">
    <w:abstractNumId w:val="6"/>
  </w:num>
  <w:num w:numId="3" w16cid:durableId="1041900411">
    <w:abstractNumId w:val="5"/>
  </w:num>
  <w:num w:numId="4" w16cid:durableId="1001080507">
    <w:abstractNumId w:val="2"/>
  </w:num>
  <w:num w:numId="5" w16cid:durableId="787506008">
    <w:abstractNumId w:val="9"/>
  </w:num>
  <w:num w:numId="6" w16cid:durableId="1932469608">
    <w:abstractNumId w:val="8"/>
  </w:num>
  <w:num w:numId="7" w16cid:durableId="186411076">
    <w:abstractNumId w:val="4"/>
  </w:num>
  <w:num w:numId="8" w16cid:durableId="322707760">
    <w:abstractNumId w:val="7"/>
  </w:num>
  <w:num w:numId="9" w16cid:durableId="680084435">
    <w:abstractNumId w:val="0"/>
  </w:num>
  <w:num w:numId="10" w16cid:durableId="156703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EE"/>
    <w:rsid w:val="00046830"/>
    <w:rsid w:val="000602E5"/>
    <w:rsid w:val="0006600F"/>
    <w:rsid w:val="000A1218"/>
    <w:rsid w:val="000E7236"/>
    <w:rsid w:val="000F0F09"/>
    <w:rsid w:val="00161EC8"/>
    <w:rsid w:val="00194DBB"/>
    <w:rsid w:val="001D3C83"/>
    <w:rsid w:val="001E12D5"/>
    <w:rsid w:val="001F5781"/>
    <w:rsid w:val="00216E1C"/>
    <w:rsid w:val="00233AEE"/>
    <w:rsid w:val="002525D7"/>
    <w:rsid w:val="00273D1D"/>
    <w:rsid w:val="00280019"/>
    <w:rsid w:val="00302659"/>
    <w:rsid w:val="00305227"/>
    <w:rsid w:val="00310BA5"/>
    <w:rsid w:val="00312415"/>
    <w:rsid w:val="003551B4"/>
    <w:rsid w:val="003B71DE"/>
    <w:rsid w:val="003E52D1"/>
    <w:rsid w:val="003F7EFE"/>
    <w:rsid w:val="004060F6"/>
    <w:rsid w:val="004209D4"/>
    <w:rsid w:val="00445ABC"/>
    <w:rsid w:val="004F3C41"/>
    <w:rsid w:val="004F6B5F"/>
    <w:rsid w:val="00574B21"/>
    <w:rsid w:val="00577852"/>
    <w:rsid w:val="00580FD8"/>
    <w:rsid w:val="005A5F86"/>
    <w:rsid w:val="005B05D9"/>
    <w:rsid w:val="005B29B7"/>
    <w:rsid w:val="005C3289"/>
    <w:rsid w:val="005C3949"/>
    <w:rsid w:val="005E7996"/>
    <w:rsid w:val="006569F7"/>
    <w:rsid w:val="0065783B"/>
    <w:rsid w:val="00675DBA"/>
    <w:rsid w:val="00676033"/>
    <w:rsid w:val="007352F8"/>
    <w:rsid w:val="007473FE"/>
    <w:rsid w:val="00756141"/>
    <w:rsid w:val="00771A51"/>
    <w:rsid w:val="007F78AC"/>
    <w:rsid w:val="00822E03"/>
    <w:rsid w:val="0083103B"/>
    <w:rsid w:val="008378CD"/>
    <w:rsid w:val="00847C6B"/>
    <w:rsid w:val="008A2E9D"/>
    <w:rsid w:val="008B5BAF"/>
    <w:rsid w:val="0093294A"/>
    <w:rsid w:val="00947F18"/>
    <w:rsid w:val="00960021"/>
    <w:rsid w:val="009A2EB0"/>
    <w:rsid w:val="00A06AD6"/>
    <w:rsid w:val="00A949C7"/>
    <w:rsid w:val="00AC0B39"/>
    <w:rsid w:val="00AE44CB"/>
    <w:rsid w:val="00AF40D1"/>
    <w:rsid w:val="00B1271E"/>
    <w:rsid w:val="00B13CC1"/>
    <w:rsid w:val="00B91F0D"/>
    <w:rsid w:val="00BC1970"/>
    <w:rsid w:val="00C2352B"/>
    <w:rsid w:val="00C34C7D"/>
    <w:rsid w:val="00C36CDC"/>
    <w:rsid w:val="00C402C7"/>
    <w:rsid w:val="00C71386"/>
    <w:rsid w:val="00CA2083"/>
    <w:rsid w:val="00CD73AF"/>
    <w:rsid w:val="00D0727A"/>
    <w:rsid w:val="00D244F7"/>
    <w:rsid w:val="00D351BE"/>
    <w:rsid w:val="00D42CED"/>
    <w:rsid w:val="00D73296"/>
    <w:rsid w:val="00D92D79"/>
    <w:rsid w:val="00DD3142"/>
    <w:rsid w:val="00E34D5A"/>
    <w:rsid w:val="00EB733E"/>
    <w:rsid w:val="00F27AAF"/>
    <w:rsid w:val="00F415CB"/>
    <w:rsid w:val="00FE30E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0C8D"/>
  <w15:chartTrackingRefBased/>
  <w15:docId w15:val="{C09D3400-A980-4409-BD94-B16DEC66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3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A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A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3A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3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A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3A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A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A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3A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3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AEE"/>
    <w:rPr>
      <w:rFonts w:eastAsiaTheme="majorEastAsia" w:cstheme="majorBidi"/>
      <w:color w:val="272727" w:themeColor="text1" w:themeTint="D8"/>
    </w:rPr>
  </w:style>
  <w:style w:type="paragraph" w:styleId="Title">
    <w:name w:val="Title"/>
    <w:basedOn w:val="Normal"/>
    <w:next w:val="Normal"/>
    <w:link w:val="TitleChar"/>
    <w:uiPriority w:val="10"/>
    <w:qFormat/>
    <w:rsid w:val="00233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AEE"/>
    <w:pPr>
      <w:spacing w:before="160"/>
      <w:jc w:val="center"/>
    </w:pPr>
    <w:rPr>
      <w:i/>
      <w:iCs/>
      <w:color w:val="404040" w:themeColor="text1" w:themeTint="BF"/>
    </w:rPr>
  </w:style>
  <w:style w:type="character" w:customStyle="1" w:styleId="QuoteChar">
    <w:name w:val="Quote Char"/>
    <w:basedOn w:val="DefaultParagraphFont"/>
    <w:link w:val="Quote"/>
    <w:uiPriority w:val="29"/>
    <w:rsid w:val="00233AEE"/>
    <w:rPr>
      <w:i/>
      <w:iCs/>
      <w:color w:val="404040" w:themeColor="text1" w:themeTint="BF"/>
    </w:rPr>
  </w:style>
  <w:style w:type="paragraph" w:styleId="ListParagraph">
    <w:name w:val="List Paragraph"/>
    <w:basedOn w:val="Normal"/>
    <w:uiPriority w:val="34"/>
    <w:qFormat/>
    <w:rsid w:val="00233AEE"/>
    <w:pPr>
      <w:ind w:left="720"/>
      <w:contextualSpacing/>
    </w:pPr>
  </w:style>
  <w:style w:type="character" w:styleId="IntenseEmphasis">
    <w:name w:val="Intense Emphasis"/>
    <w:basedOn w:val="DefaultParagraphFont"/>
    <w:uiPriority w:val="21"/>
    <w:qFormat/>
    <w:rsid w:val="00233AEE"/>
    <w:rPr>
      <w:i/>
      <w:iCs/>
      <w:color w:val="2F5496" w:themeColor="accent1" w:themeShade="BF"/>
    </w:rPr>
  </w:style>
  <w:style w:type="paragraph" w:styleId="IntenseQuote">
    <w:name w:val="Intense Quote"/>
    <w:basedOn w:val="Normal"/>
    <w:next w:val="Normal"/>
    <w:link w:val="IntenseQuoteChar"/>
    <w:uiPriority w:val="30"/>
    <w:qFormat/>
    <w:rsid w:val="00233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3AEE"/>
    <w:rPr>
      <w:i/>
      <w:iCs/>
      <w:color w:val="2F5496" w:themeColor="accent1" w:themeShade="BF"/>
    </w:rPr>
  </w:style>
  <w:style w:type="character" w:styleId="IntenseReference">
    <w:name w:val="Intense Reference"/>
    <w:basedOn w:val="DefaultParagraphFont"/>
    <w:uiPriority w:val="32"/>
    <w:qFormat/>
    <w:rsid w:val="00233A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435">
      <w:bodyDiv w:val="1"/>
      <w:marLeft w:val="0"/>
      <w:marRight w:val="0"/>
      <w:marTop w:val="0"/>
      <w:marBottom w:val="0"/>
      <w:divBdr>
        <w:top w:val="none" w:sz="0" w:space="0" w:color="auto"/>
        <w:left w:val="none" w:sz="0" w:space="0" w:color="auto"/>
        <w:bottom w:val="none" w:sz="0" w:space="0" w:color="auto"/>
        <w:right w:val="none" w:sz="0" w:space="0" w:color="auto"/>
      </w:divBdr>
    </w:div>
    <w:div w:id="166755788">
      <w:bodyDiv w:val="1"/>
      <w:marLeft w:val="0"/>
      <w:marRight w:val="0"/>
      <w:marTop w:val="0"/>
      <w:marBottom w:val="0"/>
      <w:divBdr>
        <w:top w:val="none" w:sz="0" w:space="0" w:color="auto"/>
        <w:left w:val="none" w:sz="0" w:space="0" w:color="auto"/>
        <w:bottom w:val="none" w:sz="0" w:space="0" w:color="auto"/>
        <w:right w:val="none" w:sz="0" w:space="0" w:color="auto"/>
      </w:divBdr>
    </w:div>
    <w:div w:id="285434832">
      <w:bodyDiv w:val="1"/>
      <w:marLeft w:val="0"/>
      <w:marRight w:val="0"/>
      <w:marTop w:val="0"/>
      <w:marBottom w:val="0"/>
      <w:divBdr>
        <w:top w:val="none" w:sz="0" w:space="0" w:color="auto"/>
        <w:left w:val="none" w:sz="0" w:space="0" w:color="auto"/>
        <w:bottom w:val="none" w:sz="0" w:space="0" w:color="auto"/>
        <w:right w:val="none" w:sz="0" w:space="0" w:color="auto"/>
      </w:divBdr>
    </w:div>
    <w:div w:id="315302094">
      <w:bodyDiv w:val="1"/>
      <w:marLeft w:val="0"/>
      <w:marRight w:val="0"/>
      <w:marTop w:val="0"/>
      <w:marBottom w:val="0"/>
      <w:divBdr>
        <w:top w:val="none" w:sz="0" w:space="0" w:color="auto"/>
        <w:left w:val="none" w:sz="0" w:space="0" w:color="auto"/>
        <w:bottom w:val="none" w:sz="0" w:space="0" w:color="auto"/>
        <w:right w:val="none" w:sz="0" w:space="0" w:color="auto"/>
      </w:divBdr>
    </w:div>
    <w:div w:id="316685704">
      <w:bodyDiv w:val="1"/>
      <w:marLeft w:val="0"/>
      <w:marRight w:val="0"/>
      <w:marTop w:val="0"/>
      <w:marBottom w:val="0"/>
      <w:divBdr>
        <w:top w:val="none" w:sz="0" w:space="0" w:color="auto"/>
        <w:left w:val="none" w:sz="0" w:space="0" w:color="auto"/>
        <w:bottom w:val="none" w:sz="0" w:space="0" w:color="auto"/>
        <w:right w:val="none" w:sz="0" w:space="0" w:color="auto"/>
      </w:divBdr>
    </w:div>
    <w:div w:id="319046816">
      <w:bodyDiv w:val="1"/>
      <w:marLeft w:val="0"/>
      <w:marRight w:val="0"/>
      <w:marTop w:val="0"/>
      <w:marBottom w:val="0"/>
      <w:divBdr>
        <w:top w:val="none" w:sz="0" w:space="0" w:color="auto"/>
        <w:left w:val="none" w:sz="0" w:space="0" w:color="auto"/>
        <w:bottom w:val="none" w:sz="0" w:space="0" w:color="auto"/>
        <w:right w:val="none" w:sz="0" w:space="0" w:color="auto"/>
      </w:divBdr>
    </w:div>
    <w:div w:id="339813821">
      <w:bodyDiv w:val="1"/>
      <w:marLeft w:val="0"/>
      <w:marRight w:val="0"/>
      <w:marTop w:val="0"/>
      <w:marBottom w:val="0"/>
      <w:divBdr>
        <w:top w:val="none" w:sz="0" w:space="0" w:color="auto"/>
        <w:left w:val="none" w:sz="0" w:space="0" w:color="auto"/>
        <w:bottom w:val="none" w:sz="0" w:space="0" w:color="auto"/>
        <w:right w:val="none" w:sz="0" w:space="0" w:color="auto"/>
      </w:divBdr>
    </w:div>
    <w:div w:id="351028748">
      <w:bodyDiv w:val="1"/>
      <w:marLeft w:val="0"/>
      <w:marRight w:val="0"/>
      <w:marTop w:val="0"/>
      <w:marBottom w:val="0"/>
      <w:divBdr>
        <w:top w:val="none" w:sz="0" w:space="0" w:color="auto"/>
        <w:left w:val="none" w:sz="0" w:space="0" w:color="auto"/>
        <w:bottom w:val="none" w:sz="0" w:space="0" w:color="auto"/>
        <w:right w:val="none" w:sz="0" w:space="0" w:color="auto"/>
      </w:divBdr>
    </w:div>
    <w:div w:id="416906994">
      <w:bodyDiv w:val="1"/>
      <w:marLeft w:val="0"/>
      <w:marRight w:val="0"/>
      <w:marTop w:val="0"/>
      <w:marBottom w:val="0"/>
      <w:divBdr>
        <w:top w:val="none" w:sz="0" w:space="0" w:color="auto"/>
        <w:left w:val="none" w:sz="0" w:space="0" w:color="auto"/>
        <w:bottom w:val="none" w:sz="0" w:space="0" w:color="auto"/>
        <w:right w:val="none" w:sz="0" w:space="0" w:color="auto"/>
      </w:divBdr>
    </w:div>
    <w:div w:id="516652891">
      <w:bodyDiv w:val="1"/>
      <w:marLeft w:val="0"/>
      <w:marRight w:val="0"/>
      <w:marTop w:val="0"/>
      <w:marBottom w:val="0"/>
      <w:divBdr>
        <w:top w:val="none" w:sz="0" w:space="0" w:color="auto"/>
        <w:left w:val="none" w:sz="0" w:space="0" w:color="auto"/>
        <w:bottom w:val="none" w:sz="0" w:space="0" w:color="auto"/>
        <w:right w:val="none" w:sz="0" w:space="0" w:color="auto"/>
      </w:divBdr>
    </w:div>
    <w:div w:id="574047604">
      <w:bodyDiv w:val="1"/>
      <w:marLeft w:val="0"/>
      <w:marRight w:val="0"/>
      <w:marTop w:val="0"/>
      <w:marBottom w:val="0"/>
      <w:divBdr>
        <w:top w:val="none" w:sz="0" w:space="0" w:color="auto"/>
        <w:left w:val="none" w:sz="0" w:space="0" w:color="auto"/>
        <w:bottom w:val="none" w:sz="0" w:space="0" w:color="auto"/>
        <w:right w:val="none" w:sz="0" w:space="0" w:color="auto"/>
      </w:divBdr>
    </w:div>
    <w:div w:id="631637169">
      <w:bodyDiv w:val="1"/>
      <w:marLeft w:val="0"/>
      <w:marRight w:val="0"/>
      <w:marTop w:val="0"/>
      <w:marBottom w:val="0"/>
      <w:divBdr>
        <w:top w:val="none" w:sz="0" w:space="0" w:color="auto"/>
        <w:left w:val="none" w:sz="0" w:space="0" w:color="auto"/>
        <w:bottom w:val="none" w:sz="0" w:space="0" w:color="auto"/>
        <w:right w:val="none" w:sz="0" w:space="0" w:color="auto"/>
      </w:divBdr>
    </w:div>
    <w:div w:id="688801318">
      <w:bodyDiv w:val="1"/>
      <w:marLeft w:val="0"/>
      <w:marRight w:val="0"/>
      <w:marTop w:val="0"/>
      <w:marBottom w:val="0"/>
      <w:divBdr>
        <w:top w:val="none" w:sz="0" w:space="0" w:color="auto"/>
        <w:left w:val="none" w:sz="0" w:space="0" w:color="auto"/>
        <w:bottom w:val="none" w:sz="0" w:space="0" w:color="auto"/>
        <w:right w:val="none" w:sz="0" w:space="0" w:color="auto"/>
      </w:divBdr>
    </w:div>
    <w:div w:id="780420498">
      <w:bodyDiv w:val="1"/>
      <w:marLeft w:val="0"/>
      <w:marRight w:val="0"/>
      <w:marTop w:val="0"/>
      <w:marBottom w:val="0"/>
      <w:divBdr>
        <w:top w:val="none" w:sz="0" w:space="0" w:color="auto"/>
        <w:left w:val="none" w:sz="0" w:space="0" w:color="auto"/>
        <w:bottom w:val="none" w:sz="0" w:space="0" w:color="auto"/>
        <w:right w:val="none" w:sz="0" w:space="0" w:color="auto"/>
      </w:divBdr>
    </w:div>
    <w:div w:id="825705247">
      <w:bodyDiv w:val="1"/>
      <w:marLeft w:val="0"/>
      <w:marRight w:val="0"/>
      <w:marTop w:val="0"/>
      <w:marBottom w:val="0"/>
      <w:divBdr>
        <w:top w:val="none" w:sz="0" w:space="0" w:color="auto"/>
        <w:left w:val="none" w:sz="0" w:space="0" w:color="auto"/>
        <w:bottom w:val="none" w:sz="0" w:space="0" w:color="auto"/>
        <w:right w:val="none" w:sz="0" w:space="0" w:color="auto"/>
      </w:divBdr>
    </w:div>
    <w:div w:id="1018311479">
      <w:bodyDiv w:val="1"/>
      <w:marLeft w:val="0"/>
      <w:marRight w:val="0"/>
      <w:marTop w:val="0"/>
      <w:marBottom w:val="0"/>
      <w:divBdr>
        <w:top w:val="none" w:sz="0" w:space="0" w:color="auto"/>
        <w:left w:val="none" w:sz="0" w:space="0" w:color="auto"/>
        <w:bottom w:val="none" w:sz="0" w:space="0" w:color="auto"/>
        <w:right w:val="none" w:sz="0" w:space="0" w:color="auto"/>
      </w:divBdr>
    </w:div>
    <w:div w:id="1160538241">
      <w:bodyDiv w:val="1"/>
      <w:marLeft w:val="0"/>
      <w:marRight w:val="0"/>
      <w:marTop w:val="0"/>
      <w:marBottom w:val="0"/>
      <w:divBdr>
        <w:top w:val="none" w:sz="0" w:space="0" w:color="auto"/>
        <w:left w:val="none" w:sz="0" w:space="0" w:color="auto"/>
        <w:bottom w:val="none" w:sz="0" w:space="0" w:color="auto"/>
        <w:right w:val="none" w:sz="0" w:space="0" w:color="auto"/>
      </w:divBdr>
    </w:div>
    <w:div w:id="1329750818">
      <w:bodyDiv w:val="1"/>
      <w:marLeft w:val="0"/>
      <w:marRight w:val="0"/>
      <w:marTop w:val="0"/>
      <w:marBottom w:val="0"/>
      <w:divBdr>
        <w:top w:val="none" w:sz="0" w:space="0" w:color="auto"/>
        <w:left w:val="none" w:sz="0" w:space="0" w:color="auto"/>
        <w:bottom w:val="none" w:sz="0" w:space="0" w:color="auto"/>
        <w:right w:val="none" w:sz="0" w:space="0" w:color="auto"/>
      </w:divBdr>
    </w:div>
    <w:div w:id="1398743211">
      <w:bodyDiv w:val="1"/>
      <w:marLeft w:val="0"/>
      <w:marRight w:val="0"/>
      <w:marTop w:val="0"/>
      <w:marBottom w:val="0"/>
      <w:divBdr>
        <w:top w:val="none" w:sz="0" w:space="0" w:color="auto"/>
        <w:left w:val="none" w:sz="0" w:space="0" w:color="auto"/>
        <w:bottom w:val="none" w:sz="0" w:space="0" w:color="auto"/>
        <w:right w:val="none" w:sz="0" w:space="0" w:color="auto"/>
      </w:divBdr>
    </w:div>
    <w:div w:id="1435518111">
      <w:bodyDiv w:val="1"/>
      <w:marLeft w:val="0"/>
      <w:marRight w:val="0"/>
      <w:marTop w:val="0"/>
      <w:marBottom w:val="0"/>
      <w:divBdr>
        <w:top w:val="none" w:sz="0" w:space="0" w:color="auto"/>
        <w:left w:val="none" w:sz="0" w:space="0" w:color="auto"/>
        <w:bottom w:val="none" w:sz="0" w:space="0" w:color="auto"/>
        <w:right w:val="none" w:sz="0" w:space="0" w:color="auto"/>
      </w:divBdr>
    </w:div>
    <w:div w:id="1501695292">
      <w:bodyDiv w:val="1"/>
      <w:marLeft w:val="0"/>
      <w:marRight w:val="0"/>
      <w:marTop w:val="0"/>
      <w:marBottom w:val="0"/>
      <w:divBdr>
        <w:top w:val="none" w:sz="0" w:space="0" w:color="auto"/>
        <w:left w:val="none" w:sz="0" w:space="0" w:color="auto"/>
        <w:bottom w:val="none" w:sz="0" w:space="0" w:color="auto"/>
        <w:right w:val="none" w:sz="0" w:space="0" w:color="auto"/>
      </w:divBdr>
    </w:div>
    <w:div w:id="1529483710">
      <w:bodyDiv w:val="1"/>
      <w:marLeft w:val="0"/>
      <w:marRight w:val="0"/>
      <w:marTop w:val="0"/>
      <w:marBottom w:val="0"/>
      <w:divBdr>
        <w:top w:val="none" w:sz="0" w:space="0" w:color="auto"/>
        <w:left w:val="none" w:sz="0" w:space="0" w:color="auto"/>
        <w:bottom w:val="none" w:sz="0" w:space="0" w:color="auto"/>
        <w:right w:val="none" w:sz="0" w:space="0" w:color="auto"/>
      </w:divBdr>
    </w:div>
    <w:div w:id="1584873300">
      <w:bodyDiv w:val="1"/>
      <w:marLeft w:val="0"/>
      <w:marRight w:val="0"/>
      <w:marTop w:val="0"/>
      <w:marBottom w:val="0"/>
      <w:divBdr>
        <w:top w:val="none" w:sz="0" w:space="0" w:color="auto"/>
        <w:left w:val="none" w:sz="0" w:space="0" w:color="auto"/>
        <w:bottom w:val="none" w:sz="0" w:space="0" w:color="auto"/>
        <w:right w:val="none" w:sz="0" w:space="0" w:color="auto"/>
      </w:divBdr>
    </w:div>
    <w:div w:id="1628664714">
      <w:bodyDiv w:val="1"/>
      <w:marLeft w:val="0"/>
      <w:marRight w:val="0"/>
      <w:marTop w:val="0"/>
      <w:marBottom w:val="0"/>
      <w:divBdr>
        <w:top w:val="none" w:sz="0" w:space="0" w:color="auto"/>
        <w:left w:val="none" w:sz="0" w:space="0" w:color="auto"/>
        <w:bottom w:val="none" w:sz="0" w:space="0" w:color="auto"/>
        <w:right w:val="none" w:sz="0" w:space="0" w:color="auto"/>
      </w:divBdr>
    </w:div>
    <w:div w:id="1688173073">
      <w:bodyDiv w:val="1"/>
      <w:marLeft w:val="0"/>
      <w:marRight w:val="0"/>
      <w:marTop w:val="0"/>
      <w:marBottom w:val="0"/>
      <w:divBdr>
        <w:top w:val="none" w:sz="0" w:space="0" w:color="auto"/>
        <w:left w:val="none" w:sz="0" w:space="0" w:color="auto"/>
        <w:bottom w:val="none" w:sz="0" w:space="0" w:color="auto"/>
        <w:right w:val="none" w:sz="0" w:space="0" w:color="auto"/>
      </w:divBdr>
    </w:div>
    <w:div w:id="1691182523">
      <w:bodyDiv w:val="1"/>
      <w:marLeft w:val="0"/>
      <w:marRight w:val="0"/>
      <w:marTop w:val="0"/>
      <w:marBottom w:val="0"/>
      <w:divBdr>
        <w:top w:val="none" w:sz="0" w:space="0" w:color="auto"/>
        <w:left w:val="none" w:sz="0" w:space="0" w:color="auto"/>
        <w:bottom w:val="none" w:sz="0" w:space="0" w:color="auto"/>
        <w:right w:val="none" w:sz="0" w:space="0" w:color="auto"/>
      </w:divBdr>
    </w:div>
    <w:div w:id="1705668388">
      <w:bodyDiv w:val="1"/>
      <w:marLeft w:val="0"/>
      <w:marRight w:val="0"/>
      <w:marTop w:val="0"/>
      <w:marBottom w:val="0"/>
      <w:divBdr>
        <w:top w:val="none" w:sz="0" w:space="0" w:color="auto"/>
        <w:left w:val="none" w:sz="0" w:space="0" w:color="auto"/>
        <w:bottom w:val="none" w:sz="0" w:space="0" w:color="auto"/>
        <w:right w:val="none" w:sz="0" w:space="0" w:color="auto"/>
      </w:divBdr>
    </w:div>
    <w:div w:id="1782262955">
      <w:bodyDiv w:val="1"/>
      <w:marLeft w:val="0"/>
      <w:marRight w:val="0"/>
      <w:marTop w:val="0"/>
      <w:marBottom w:val="0"/>
      <w:divBdr>
        <w:top w:val="none" w:sz="0" w:space="0" w:color="auto"/>
        <w:left w:val="none" w:sz="0" w:space="0" w:color="auto"/>
        <w:bottom w:val="none" w:sz="0" w:space="0" w:color="auto"/>
        <w:right w:val="none" w:sz="0" w:space="0" w:color="auto"/>
      </w:divBdr>
    </w:div>
    <w:div w:id="1865706895">
      <w:bodyDiv w:val="1"/>
      <w:marLeft w:val="0"/>
      <w:marRight w:val="0"/>
      <w:marTop w:val="0"/>
      <w:marBottom w:val="0"/>
      <w:divBdr>
        <w:top w:val="none" w:sz="0" w:space="0" w:color="auto"/>
        <w:left w:val="none" w:sz="0" w:space="0" w:color="auto"/>
        <w:bottom w:val="none" w:sz="0" w:space="0" w:color="auto"/>
        <w:right w:val="none" w:sz="0" w:space="0" w:color="auto"/>
      </w:divBdr>
    </w:div>
    <w:div w:id="1987273150">
      <w:bodyDiv w:val="1"/>
      <w:marLeft w:val="0"/>
      <w:marRight w:val="0"/>
      <w:marTop w:val="0"/>
      <w:marBottom w:val="0"/>
      <w:divBdr>
        <w:top w:val="none" w:sz="0" w:space="0" w:color="auto"/>
        <w:left w:val="none" w:sz="0" w:space="0" w:color="auto"/>
        <w:bottom w:val="none" w:sz="0" w:space="0" w:color="auto"/>
        <w:right w:val="none" w:sz="0" w:space="0" w:color="auto"/>
      </w:divBdr>
    </w:div>
    <w:div w:id="2045017269">
      <w:bodyDiv w:val="1"/>
      <w:marLeft w:val="0"/>
      <w:marRight w:val="0"/>
      <w:marTop w:val="0"/>
      <w:marBottom w:val="0"/>
      <w:divBdr>
        <w:top w:val="none" w:sz="0" w:space="0" w:color="auto"/>
        <w:left w:val="none" w:sz="0" w:space="0" w:color="auto"/>
        <w:bottom w:val="none" w:sz="0" w:space="0" w:color="auto"/>
        <w:right w:val="none" w:sz="0" w:space="0" w:color="auto"/>
      </w:divBdr>
    </w:div>
    <w:div w:id="212325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3205</TotalTime>
  <Pages>23</Pages>
  <Words>6980</Words>
  <Characters>39791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Enrique Velez</dc:creator>
  <cp:keywords/>
  <dc:description/>
  <cp:lastModifiedBy>Jorge Enrique Velez</cp:lastModifiedBy>
  <cp:revision>52</cp:revision>
  <dcterms:created xsi:type="dcterms:W3CDTF">2024-11-13T20:12:00Z</dcterms:created>
  <dcterms:modified xsi:type="dcterms:W3CDTF">2024-11-18T00:37:00Z</dcterms:modified>
</cp:coreProperties>
</file>