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b/>
          <w:bCs/>
          <w:color w:val="1F3864"/>
          <w:sz w:val="48"/>
          <w:szCs w:val="48"/>
        </w:rPr>
        <w:t xml:space="preserve">Revisión Veterinaria</w:t>
      </w:r>
    </w:p>
    <w:p>
      <w:pPr>
        <w:spacing w:after="60" w:before="0"/>
      </w:pPr>
      <w:r>
        <w:rPr>
          <w:i/>
          <w:iCs/>
          <w:color w:val="555555"/>
          <w:sz w:val="24"/>
          <w:szCs w:val="24"/>
        </w:rPr>
        <w:t xml:space="preserve">Datos clínicos generados automáticamente que requieren validación profesional</w:t>
      </w:r>
    </w:p>
    <w:p>
      <w:pPr>
        <w:spacing w:after="240" w:before="0"/>
      </w:pPr>
      <w:r>
        <w:rPr>
          <w:color w:val="555555"/>
          <w:sz w:val="20"/>
          <w:szCs w:val="20"/>
        </w:rPr>
        <w:t xml:space="preserve">Sistema de Gestión Ganadera — Módulo de Vacunación, Enfermedades y Epidemiología</w:t>
      </w:r>
    </w:p>
    <w:p>
      <w:pPr>
        <w:spacing w:after="120" w:before="0"/>
      </w:pPr>
      <w:r>
        <w:rPr>
          <w:b/>
          <w:bCs/>
        </w:rPr>
        <w:t xml:space="preserve">Propósito: </w:t>
      </w:r>
      <w:r>
        <w:t xml:space="preserve">Este documento lista todos los datos clínicos que fueron generados a partir de conocimiento veterinario general (no provienen de una fuente citada ni de datos previamente validados). Un médico veterinario debe revisar cada sección, marcar </w:t>
      </w:r>
      <w:r>
        <w:rPr>
          <w:b/>
          <w:bCs/>
          <w:color w:val="8A6D00"/>
        </w:rPr>
        <w:t xml:space="preserve">[ ] Correcto</w:t>
      </w:r>
      <w:r>
        <w:t xml:space="preserve"> o </w:t>
      </w:r>
      <w:r>
        <w:rPr>
          <w:b/>
          <w:bCs/>
          <w:color w:val="8A6D00"/>
        </w:rPr>
        <w:t xml:space="preserve">[ ] Corregir</w:t>
      </w:r>
      <w:r>
        <w:t xml:space="preserve">, y anotar la corrección sugerida cuando aplique.</w:t>
      </w:r>
    </w:p>
    <w:p>
      <w:pPr>
        <w:spacing w:after="240" w:before="0"/>
      </w:pPr>
      <w:r>
        <w:rPr>
          <w:b/>
          <w:bCs/>
          <w:color w:val="B00000"/>
        </w:rPr>
        <w:t xml:space="preserve">Nota: </w:t>
      </w:r>
      <w:r>
        <w:t xml:space="preserve">Los valores de inmunidad y dosis de la tabla original de vacunas (marcados como "Tu dato") fueron proporcionados por el cliente y NO requieren validación de origen, solo confirmación.</w:t>
      </w:r>
    </w:p>
    <w:p>
      <w:pPr>
        <w:pStyle w:val="Heading1"/>
        <w:pageBreakBefore/>
      </w:pPr>
      <w:r>
        <w:t xml:space="preserve">1. Campos clínicos de las 9 enfermedades nuevas</w:t>
      </w:r>
    </w:p>
    <w:p>
      <w:pPr>
        <w:spacing w:after="160" w:before="0"/>
      </w:pPr>
      <w:r>
        <w:rPr>
          <w:i/>
          <w:iCs/>
          <w:color w:val="B00000"/>
        </w:rPr>
        <w:t xml:space="preserve">Prioridad ALTA — 100% generado. Validar cada campo.</w:t>
      </w:r>
    </w:p>
    <w:p>
      <w:pPr>
        <w:spacing w:after="60" w:before="160"/>
      </w:pPr>
      <w:r>
        <w:rPr>
          <w:b/>
          <w:bCs/>
          <w:color w:val="1F3864"/>
          <w:sz w:val="22"/>
          <w:szCs w:val="22"/>
        </w:rPr>
        <w:t xml:space="preserve">Tricomoniasis Bovina</w:t>
      </w:r>
    </w:p>
    <w:p>
      <w:pPr>
        <w:spacing w:after="40" w:before="0"/>
      </w:pPr>
      <w:r>
        <w:rPr>
          <w:b/>
          <w:bCs/>
          <w:sz w:val="19"/>
          <w:szCs w:val="19"/>
        </w:rPr>
        <w:t xml:space="preserve">Descripción: </w:t>
      </w:r>
      <w:r>
        <w:rPr>
          <w:sz w:val="19"/>
          <w:szCs w:val="19"/>
        </w:rPr>
        <w:t xml:space="preserve">Enfermedad reproductiva venérea causada por Tritrichomonas foetus. Transmisión por monta natural; provoca infertilidad, muerte embrionaria temprana y piómetra.</w:t>
      </w:r>
    </w:p>
    <w:p>
      <w:pPr>
        <w:spacing w:after="80" w:before="0"/>
      </w:pPr>
      <w:r>
        <w:rPr>
          <w:b/>
          <w:bCs/>
          <w:sz w:val="19"/>
          <w:szCs w:val="19"/>
        </w:rPr>
        <w:t xml:space="preserve">Acción recomendada: </w:t>
      </w:r>
      <w:r>
        <w:rPr>
          <w:sz w:val="19"/>
          <w:szCs w:val="19"/>
        </w:rPr>
        <w:t xml:space="preserve">Reemplazar monta natural por inseminación artificial. Descartar toros positivos. Vacunación del hato y descanso sexual de las hembras.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1500"/>
        <w:gridCol w:w="1500"/>
        <w:gridCol w:w="1860"/>
        <w:gridCol w:w="1860"/>
      </w:tblGrid>
      <w:tr>
        <w:trPr>
          <w:tblHeader/>
        </w:trPr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Contagiosa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Zoonótica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Cuarentena (días)</w:t>
            </w:r>
          </w:p>
        </w:tc>
      </w:tr>
      <w:tr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PARASITIC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MODERATE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Incubación (días)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Sistemas afectados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Validación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14–30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REPRODUCTIVE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8A6D00"/>
                <w:sz w:val="18"/>
                <w:szCs w:val="18"/>
              </w:rPr>
              <w:t xml:space="preserve">[ ] Correcto   [ ] Corregir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60" w:before="160"/>
      </w:pPr>
      <w:r>
        <w:rPr>
          <w:b/>
          <w:bCs/>
          <w:color w:val="1F3864"/>
          <w:sz w:val="22"/>
          <w:szCs w:val="22"/>
        </w:rPr>
        <w:t xml:space="preserve">Pododermatitis Infecciosa (Foot Rot)</w:t>
      </w:r>
    </w:p>
    <w:p>
      <w:pPr>
        <w:spacing w:after="40" w:before="0"/>
      </w:pPr>
      <w:r>
        <w:rPr>
          <w:b/>
          <w:bCs/>
          <w:sz w:val="19"/>
          <w:szCs w:val="19"/>
        </w:rPr>
        <w:t xml:space="preserve">Descripción: </w:t>
      </w:r>
      <w:r>
        <w:rPr>
          <w:sz w:val="19"/>
          <w:szCs w:val="19"/>
        </w:rPr>
        <w:t xml:space="preserve">Infección necrótica del tejido interdigital por Fusobacterium necrophorum y Dichelobacter nodosus. Cojera aguda, inflamación y mal olor.</w:t>
      </w:r>
    </w:p>
    <w:p>
      <w:pPr>
        <w:spacing w:after="80" w:before="0"/>
      </w:pPr>
      <w:r>
        <w:rPr>
          <w:b/>
          <w:bCs/>
          <w:sz w:val="19"/>
          <w:szCs w:val="19"/>
        </w:rPr>
        <w:t xml:space="preserve">Acción recomendada: </w:t>
      </w:r>
      <w:r>
        <w:rPr>
          <w:sz w:val="19"/>
          <w:szCs w:val="19"/>
        </w:rPr>
        <w:t xml:space="preserve">Limpieza y desbridamiento interdigital. Antibióticos sistémicos. Pediluvios con sulfato de cobre o zinc. Vacunación en hatos con alta incidencia.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1500"/>
        <w:gridCol w:w="1500"/>
        <w:gridCol w:w="1860"/>
        <w:gridCol w:w="1860"/>
      </w:tblGrid>
      <w:tr>
        <w:trPr>
          <w:tblHeader/>
        </w:trPr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Contagiosa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Zoonótica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Cuarentena (días)</w:t>
            </w:r>
          </w:p>
        </w:tc>
      </w:tr>
      <w:tr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BACTERIAL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MODERATE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Incubación (días)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Sistemas afectados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Validación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2–7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LOCOMOTOR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8A6D00"/>
                <w:sz w:val="18"/>
                <w:szCs w:val="18"/>
              </w:rPr>
              <w:t xml:space="preserve">[ ] Correcto   [ ] Corregir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60" w:before="160"/>
      </w:pPr>
      <w:r>
        <w:rPr>
          <w:b/>
          <w:bCs/>
          <w:color w:val="1F3864"/>
          <w:sz w:val="22"/>
          <w:szCs w:val="22"/>
        </w:rPr>
        <w:t xml:space="preserve">Dermatosis Nodular Contagiosa</w:t>
      </w:r>
    </w:p>
    <w:p>
      <w:pPr>
        <w:spacing w:after="40" w:before="0"/>
      </w:pPr>
      <w:r>
        <w:rPr>
          <w:b/>
          <w:bCs/>
          <w:sz w:val="19"/>
          <w:szCs w:val="19"/>
        </w:rPr>
        <w:t xml:space="preserve">Descripción: </w:t>
      </w:r>
      <w:r>
        <w:rPr>
          <w:sz w:val="19"/>
          <w:szCs w:val="19"/>
        </w:rPr>
        <w:t xml:space="preserve">Enfermedad viral (Capripoxvirus / Lumpy Skin Disease): nódulos cutáneos generalizados, fiebre y caída en producción. Transmitida por insectos vectores. Notificación obligatoria.</w:t>
      </w:r>
    </w:p>
    <w:p>
      <w:pPr>
        <w:spacing w:after="80" w:before="0"/>
      </w:pPr>
      <w:r>
        <w:rPr>
          <w:b/>
          <w:bCs/>
          <w:sz w:val="19"/>
          <w:szCs w:val="19"/>
        </w:rPr>
        <w:t xml:space="preserve">Acción recomendada: </w:t>
      </w:r>
      <w:r>
        <w:rPr>
          <w:sz w:val="19"/>
          <w:szCs w:val="19"/>
        </w:rPr>
        <w:t xml:space="preserve">Aislamiento y notificación oficial. Control de vectores. Vacunación preventiva del hato. Tratamiento sintomático de lesiones.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1500"/>
        <w:gridCol w:w="1500"/>
        <w:gridCol w:w="1860"/>
        <w:gridCol w:w="1860"/>
      </w:tblGrid>
      <w:tr>
        <w:trPr>
          <w:tblHeader/>
        </w:trPr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Contagiosa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Zoonótica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Cuarentena (días)</w:t>
            </w:r>
          </w:p>
        </w:tc>
      </w:tr>
      <w:tr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VIRAL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Incubación (días)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Sistemas afectados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Validación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4–14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DERMATOLOGICAL, SYSTEMIC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8A6D00"/>
                <w:sz w:val="18"/>
                <w:szCs w:val="18"/>
              </w:rPr>
              <w:t xml:space="preserve">[ ] Correcto   [ ] Corregir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60" w:before="160"/>
      </w:pPr>
      <w:r>
        <w:rPr>
          <w:b/>
          <w:bCs/>
          <w:color w:val="1F3864"/>
          <w:sz w:val="22"/>
          <w:szCs w:val="22"/>
        </w:rPr>
        <w:t xml:space="preserve">Lengua Azul</w:t>
      </w:r>
    </w:p>
    <w:p>
      <w:pPr>
        <w:spacing w:after="40" w:before="0"/>
      </w:pPr>
      <w:r>
        <w:rPr>
          <w:b/>
          <w:bCs/>
          <w:sz w:val="19"/>
          <w:szCs w:val="19"/>
        </w:rPr>
        <w:t xml:space="preserve">Descripción: </w:t>
      </w:r>
      <w:r>
        <w:rPr>
          <w:sz w:val="19"/>
          <w:szCs w:val="19"/>
        </w:rPr>
        <w:t xml:space="preserve">Enfermedad viral (Orbivirus) transmitida por mosquitos Culicoides. Fiebre, edema facial, cianosis lingual y lesiones podales.</w:t>
      </w:r>
    </w:p>
    <w:p>
      <w:pPr>
        <w:spacing w:after="80" w:before="0"/>
      </w:pPr>
      <w:r>
        <w:rPr>
          <w:b/>
          <w:bCs/>
          <w:sz w:val="19"/>
          <w:szCs w:val="19"/>
        </w:rPr>
        <w:t xml:space="preserve">Acción recomendada: </w:t>
      </w:r>
      <w:r>
        <w:rPr>
          <w:sz w:val="19"/>
          <w:szCs w:val="19"/>
        </w:rPr>
        <w:t xml:space="preserve">Control de vectores Culicoides. Vacunación con serotipo regional. Tratamiento sintomático y de soporte. Notificación según normativa.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1500"/>
        <w:gridCol w:w="1500"/>
        <w:gridCol w:w="1860"/>
        <w:gridCol w:w="1860"/>
      </w:tblGrid>
      <w:tr>
        <w:trPr>
          <w:tblHeader/>
        </w:trPr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Contagiosa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Zoonótica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Cuarentena (días)</w:t>
            </w:r>
          </w:p>
        </w:tc>
      </w:tr>
      <w:tr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VIRAL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Incubación (días)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Sistemas afectados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Validación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5–10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DIGESTIVE, LOCOMOTOR, SYSTEMIC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8A6D00"/>
                <w:sz w:val="18"/>
                <w:szCs w:val="18"/>
              </w:rPr>
              <w:t xml:space="preserve">[ ] Correcto   [ ] Corregir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60" w:before="160"/>
      </w:pPr>
      <w:r>
        <w:rPr>
          <w:b/>
          <w:bCs/>
          <w:color w:val="1F3864"/>
          <w:sz w:val="22"/>
          <w:szCs w:val="22"/>
        </w:rPr>
        <w:t xml:space="preserve">Teileriosis Bovina</w:t>
      </w:r>
    </w:p>
    <w:p>
      <w:pPr>
        <w:spacing w:after="40" w:before="0"/>
      </w:pPr>
      <w:r>
        <w:rPr>
          <w:b/>
          <w:bCs/>
          <w:sz w:val="19"/>
          <w:szCs w:val="19"/>
        </w:rPr>
        <w:t xml:space="preserve">Descripción: </w:t>
      </w:r>
      <w:r>
        <w:rPr>
          <w:sz w:val="19"/>
          <w:szCs w:val="19"/>
        </w:rPr>
        <w:t xml:space="preserve">Enfermedad parasitaria por protozoarios Theileria, transmitida por garrapatas. Fiebre, anemia, linfadenopatía y alta mortalidad en zonas endémicas.</w:t>
      </w:r>
    </w:p>
    <w:p>
      <w:pPr>
        <w:spacing w:after="80" w:before="0"/>
      </w:pPr>
      <w:r>
        <w:rPr>
          <w:b/>
          <w:bCs/>
          <w:sz w:val="19"/>
          <w:szCs w:val="19"/>
        </w:rPr>
        <w:t xml:space="preserve">Acción recomendada: </w:t>
      </w:r>
      <w:r>
        <w:rPr>
          <w:sz w:val="19"/>
          <w:szCs w:val="19"/>
        </w:rPr>
        <w:t xml:space="preserve">Buparvacuona como tratamiento específico. Control estricto de garrapatas con acaricidas. Vacunación en regiones endémicas.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1500"/>
        <w:gridCol w:w="1500"/>
        <w:gridCol w:w="1860"/>
        <w:gridCol w:w="1860"/>
      </w:tblGrid>
      <w:tr>
        <w:trPr>
          <w:tblHeader/>
        </w:trPr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Contagiosa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Zoonótica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Cuarentena (días)</w:t>
            </w:r>
          </w:p>
        </w:tc>
      </w:tr>
      <w:tr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PARASITIC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Incubación (días)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Sistemas afectados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Validación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8–25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SYSTEMIC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8A6D00"/>
                <w:sz w:val="18"/>
                <w:szCs w:val="18"/>
              </w:rPr>
              <w:t xml:space="preserve">[ ] Correcto   [ ] Corregir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60" w:before="160"/>
      </w:pPr>
      <w:r>
        <w:rPr>
          <w:b/>
          <w:bCs/>
          <w:color w:val="1F3864"/>
          <w:sz w:val="22"/>
          <w:szCs w:val="22"/>
        </w:rPr>
        <w:t xml:space="preserve">Paratuberculosis (Enfermedad de Johne)</w:t>
      </w:r>
    </w:p>
    <w:p>
      <w:pPr>
        <w:spacing w:after="40" w:before="0"/>
      </w:pPr>
      <w:r>
        <w:rPr>
          <w:b/>
          <w:bCs/>
          <w:sz w:val="19"/>
          <w:szCs w:val="19"/>
        </w:rPr>
        <w:t xml:space="preserve">Descripción: </w:t>
      </w:r>
      <w:r>
        <w:rPr>
          <w:sz w:val="19"/>
          <w:szCs w:val="19"/>
        </w:rPr>
        <w:t xml:space="preserve">Enteritis crónica granulomatosa por Mycobacterium avium subsp. paratuberculosis. Diarrea crónica intratable, pérdida de peso progresiva. Sin cura.</w:t>
      </w:r>
    </w:p>
    <w:p>
      <w:pPr>
        <w:spacing w:after="80" w:before="0"/>
      </w:pPr>
      <w:r>
        <w:rPr>
          <w:b/>
          <w:bCs/>
          <w:sz w:val="19"/>
          <w:szCs w:val="19"/>
        </w:rPr>
        <w:t xml:space="preserve">Acción recomendada: </w:t>
      </w:r>
      <w:r>
        <w:rPr>
          <w:sz w:val="19"/>
          <w:szCs w:val="19"/>
        </w:rPr>
        <w:t xml:space="preserve">No existe tratamiento curativo. Identificar y eliminar positivos. Manejo higiénico de calostro y becerros. Vacunación donde esté autorizada.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1500"/>
        <w:gridCol w:w="1500"/>
        <w:gridCol w:w="1860"/>
        <w:gridCol w:w="1860"/>
      </w:tblGrid>
      <w:tr>
        <w:trPr>
          <w:tblHeader/>
        </w:trPr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Contagiosa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Zoonótica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Cuarentena (días)</w:t>
            </w:r>
          </w:p>
        </w:tc>
      </w:tr>
      <w:tr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BACTERIAL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Incubación (días)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Sistemas afectados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Validación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730–1825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DIGESTIVE, SYSTEMIC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8A6D00"/>
                <w:sz w:val="18"/>
                <w:szCs w:val="18"/>
              </w:rPr>
              <w:t xml:space="preserve">[ ] Correcto   [ ] Corregir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60" w:before="160"/>
      </w:pPr>
      <w:r>
        <w:rPr>
          <w:b/>
          <w:bCs/>
          <w:color w:val="1F3864"/>
          <w:sz w:val="22"/>
          <w:szCs w:val="22"/>
        </w:rPr>
        <w:t xml:space="preserve">Edema Maligno</w:t>
      </w:r>
    </w:p>
    <w:p>
      <w:pPr>
        <w:spacing w:after="40" w:before="0"/>
      </w:pPr>
      <w:r>
        <w:rPr>
          <w:b/>
          <w:bCs/>
          <w:sz w:val="19"/>
          <w:szCs w:val="19"/>
        </w:rPr>
        <w:t xml:space="preserve">Descripción: </w:t>
      </w:r>
      <w:r>
        <w:rPr>
          <w:sz w:val="19"/>
          <w:szCs w:val="19"/>
        </w:rPr>
        <w:t xml:space="preserve">Mionecrosis clostridial aguda por Clostridium septicum tras contaminación de heridas. Edema gaseoso, fiebre alta y toxemia fatal. Componente de las polivalentes clostridiales.</w:t>
      </w:r>
    </w:p>
    <w:p>
      <w:pPr>
        <w:spacing w:after="80" w:before="0"/>
      </w:pPr>
      <w:r>
        <w:rPr>
          <w:b/>
          <w:bCs/>
          <w:sz w:val="19"/>
          <w:szCs w:val="19"/>
        </w:rPr>
        <w:t xml:space="preserve">Acción recomendada: </w:t>
      </w:r>
      <w:r>
        <w:rPr>
          <w:sz w:val="19"/>
          <w:szCs w:val="19"/>
        </w:rPr>
        <w:t xml:space="preserve">Penicilina en altas dosis y desbridamiento quirúrgico temprano. Vacunación polivalente clostridial. Manejo aséptico de heridas y partos.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1500"/>
        <w:gridCol w:w="1500"/>
        <w:gridCol w:w="1860"/>
        <w:gridCol w:w="1860"/>
      </w:tblGrid>
      <w:tr>
        <w:trPr>
          <w:tblHeader/>
        </w:trPr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Contagiosa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Zoonótica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Cuarentena (días)</w:t>
            </w:r>
          </w:p>
        </w:tc>
      </w:tr>
      <w:tr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BACTERIAL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Incubación (días)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Sistemas afectados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Validación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1–5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LOCOMOTOR, SYSTEMIC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8A6D00"/>
                <w:sz w:val="18"/>
                <w:szCs w:val="18"/>
              </w:rPr>
              <w:t xml:space="preserve">[ ] Correcto   [ ] Corregir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60" w:before="160"/>
      </w:pPr>
      <w:r>
        <w:rPr>
          <w:b/>
          <w:bCs/>
          <w:color w:val="1F3864"/>
          <w:sz w:val="22"/>
          <w:szCs w:val="22"/>
        </w:rPr>
        <w:t xml:space="preserve">Hemoglobinuria Bacilar</w:t>
      </w:r>
    </w:p>
    <w:p>
      <w:pPr>
        <w:spacing w:after="40" w:before="0"/>
      </w:pPr>
      <w:r>
        <w:rPr>
          <w:b/>
          <w:bCs/>
          <w:sz w:val="19"/>
          <w:szCs w:val="19"/>
        </w:rPr>
        <w:t xml:space="preserve">Descripción: </w:t>
      </w:r>
      <w:r>
        <w:rPr>
          <w:sz w:val="19"/>
          <w:szCs w:val="19"/>
        </w:rPr>
        <w:t xml:space="preserve">Enfermedad clostridial aguda por Clostridium haemolyticum. Hemólisis intravascular, hemoglobinuria, ictericia y muerte súbita. Asociada a daño hepático por Fasciola.</w:t>
      </w:r>
    </w:p>
    <w:p>
      <w:pPr>
        <w:spacing w:after="80" w:before="0"/>
      </w:pPr>
      <w:r>
        <w:rPr>
          <w:b/>
          <w:bCs/>
          <w:sz w:val="19"/>
          <w:szCs w:val="19"/>
        </w:rPr>
        <w:t xml:space="preserve">Acción recomendada: </w:t>
      </w:r>
      <w:r>
        <w:rPr>
          <w:sz w:val="19"/>
          <w:szCs w:val="19"/>
        </w:rPr>
        <w:t xml:space="preserve">Penicilina y transfusión de soporte. Control de Fasciola hepatica. Vacunación polivalente clostridial en zonas endémicas.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1500"/>
        <w:gridCol w:w="1500"/>
        <w:gridCol w:w="1860"/>
        <w:gridCol w:w="1860"/>
      </w:tblGrid>
      <w:tr>
        <w:trPr>
          <w:tblHeader/>
        </w:trPr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Contagiosa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Zoonótica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Cuarentena (días)</w:t>
            </w:r>
          </w:p>
        </w:tc>
      </w:tr>
      <w:tr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BACTERIAL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Incubación (días)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Sistemas afectados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Validación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1–7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SYSTEMIC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8A6D00"/>
                <w:sz w:val="18"/>
                <w:szCs w:val="18"/>
              </w:rPr>
              <w:t xml:space="preserve">[ ] Correcto   [ ] Corregir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60" w:before="160"/>
      </w:pPr>
      <w:r>
        <w:rPr>
          <w:b/>
          <w:bCs/>
          <w:color w:val="1F3864"/>
          <w:sz w:val="22"/>
          <w:szCs w:val="22"/>
        </w:rPr>
        <w:t xml:space="preserve">Hepatitis Necrótica Infecciosa</w:t>
      </w:r>
    </w:p>
    <w:p>
      <w:pPr>
        <w:spacing w:after="40" w:before="0"/>
      </w:pPr>
      <w:r>
        <w:rPr>
          <w:b/>
          <w:bCs/>
          <w:sz w:val="19"/>
          <w:szCs w:val="19"/>
        </w:rPr>
        <w:t xml:space="preserve">Descripción: </w:t>
      </w:r>
      <w:r>
        <w:rPr>
          <w:sz w:val="19"/>
          <w:szCs w:val="19"/>
        </w:rPr>
        <w:t xml:space="preserve">Enfermedad clostridial por Clostridium novyi tipo B. Necrosis hepática aguda y muerte súbita, asociada a migración de Fasciola. Componente de las polivalentes clostridiales.</w:t>
      </w:r>
    </w:p>
    <w:p>
      <w:pPr>
        <w:spacing w:after="80" w:before="0"/>
      </w:pPr>
      <w:r>
        <w:rPr>
          <w:b/>
          <w:bCs/>
          <w:sz w:val="19"/>
          <w:szCs w:val="19"/>
        </w:rPr>
        <w:t xml:space="preserve">Acción recomendada: </w:t>
      </w:r>
      <w:r>
        <w:rPr>
          <w:sz w:val="19"/>
          <w:szCs w:val="19"/>
        </w:rPr>
        <w:t xml:space="preserve">Pronóstico reservado por curso fulminante. Control de Fasciola hepatica. Vacunación polivalente clostridial preventiva.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1500"/>
        <w:gridCol w:w="1500"/>
        <w:gridCol w:w="1860"/>
        <w:gridCol w:w="1860"/>
      </w:tblGrid>
      <w:tr>
        <w:trPr>
          <w:tblHeader/>
        </w:trPr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Contagiosa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Zoonótica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Cuarentena (días)</w:t>
            </w:r>
          </w:p>
        </w:tc>
      </w:tr>
      <w:tr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BACTERIAL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Incubación (días)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Sistemas afectados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Validación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1–7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SYSTEMIC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8A6D00"/>
                <w:sz w:val="18"/>
                <w:szCs w:val="18"/>
              </w:rPr>
              <w:t xml:space="preserve">[ ] Correcto   [ ] Corregir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1"/>
        <w:pageBreakBefore/>
      </w:pPr>
      <w:r>
        <w:t xml:space="preserve">2. Síntomas asociados</w:t>
      </w:r>
    </w:p>
    <w:p>
      <w:pPr>
        <w:spacing w:after="160" w:before="0"/>
      </w:pPr>
      <w:r>
        <w:rPr>
          <w:i/>
          <w:iCs/>
          <w:color w:val="B00000"/>
        </w:rPr>
        <w:t xml:space="preserve">Prioridad ALTA — 100% generado. Limitado al vocabulario de síntomas existente (algunas aproximaciones). Validar síntomas y su relevancia.</w:t>
      </w:r>
    </w:p>
    <w:p>
      <w:pPr>
        <w:spacing w:after="60" w:before="140"/>
      </w:pPr>
      <w:r>
        <w:rPr>
          <w:b/>
          <w:bCs/>
          <w:color w:val="1F3864"/>
          <w:sz w:val="21"/>
          <w:szCs w:val="21"/>
        </w:rPr>
        <w:t xml:space="preserve">Tricomoniasis Bovina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1960"/>
      </w:tblGrid>
      <w:tr>
        <w:trPr>
          <w:tblHeader/>
        </w:trP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Síntoma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Relevancia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Validación</w:t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Infertilidad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Patognomónico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8A6D00"/>
                <w:sz w:val="18"/>
                <w:szCs w:val="18"/>
              </w:rPr>
              <w:t xml:space="preserve">[ ] Correcto   [ ] Corregir</w:t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Aborto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Común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Descarga vaginal purulenta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Común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Retención de placenta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Ocasional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40"/>
      </w:pPr>
      <w:r>
        <w:rPr>
          <w:b/>
          <w:bCs/>
          <w:color w:val="1F3864"/>
          <w:sz w:val="21"/>
          <w:szCs w:val="21"/>
        </w:rPr>
        <w:t xml:space="preserve">Pododermatitis (Foot Rot)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1960"/>
      </w:tblGrid>
      <w:tr>
        <w:trPr>
          <w:tblHeader/>
        </w:trP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Síntoma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Relevancia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Validación</w:t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Cojera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Patognomónico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8A6D00"/>
                <w:sz w:val="18"/>
                <w:szCs w:val="18"/>
              </w:rPr>
              <w:t xml:space="preserve">[ ] Correcto   [ ] Corregir</w:t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Lesiones en pezuñas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Común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Edema en extremidades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Común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Fiebre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Ocasional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Anorexia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Ocasional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40"/>
      </w:pPr>
      <w:r>
        <w:rPr>
          <w:b/>
          <w:bCs/>
          <w:color w:val="1F3864"/>
          <w:sz w:val="21"/>
          <w:szCs w:val="21"/>
        </w:rPr>
        <w:t xml:space="preserve">Dermatosis Nodular Contagiosa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1960"/>
      </w:tblGrid>
      <w:tr>
        <w:trPr>
          <w:tblHeader/>
        </w:trP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Síntoma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Relevancia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Validación</w:t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Lesiones cutáneas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Patognomónico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8A6D00"/>
                <w:sz w:val="18"/>
                <w:szCs w:val="18"/>
              </w:rPr>
              <w:t xml:space="preserve">[ ] Correcto   [ ] Corregir</w:t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Fiebre alta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Común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Disminución de producción láctea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Común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Alopecia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Ocasional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Edema en extremidades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Ocasional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Anorexia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Ocasional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40"/>
      </w:pPr>
      <w:r>
        <w:rPr>
          <w:b/>
          <w:bCs/>
          <w:color w:val="1F3864"/>
          <w:sz w:val="21"/>
          <w:szCs w:val="21"/>
        </w:rPr>
        <w:t xml:space="preserve">Lengua Azul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1960"/>
      </w:tblGrid>
      <w:tr>
        <w:trPr>
          <w:tblHeader/>
        </w:trP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Síntoma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Relevancia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Validación</w:t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Lesiones en mucosa oral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Patognomónico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8A6D00"/>
                <w:sz w:val="18"/>
                <w:szCs w:val="18"/>
              </w:rPr>
              <w:t xml:space="preserve">[ ] Correcto   [ ] Corregir</w:t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Fiebre alta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Común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Salivación excesiva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Común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Cojera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Común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Lesiones en pezuñas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Ocasional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Edema en extremidades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Ocasional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40"/>
      </w:pPr>
      <w:r>
        <w:rPr>
          <w:b/>
          <w:bCs/>
          <w:color w:val="1F3864"/>
          <w:sz w:val="21"/>
          <w:szCs w:val="21"/>
        </w:rPr>
        <w:t xml:space="preserve">Teileriosis Bovina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1960"/>
      </w:tblGrid>
      <w:tr>
        <w:trPr>
          <w:tblHeader/>
        </w:trP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Síntoma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Relevancia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Validación</w:t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Anemia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Patognomónico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8A6D00"/>
                <w:sz w:val="18"/>
                <w:szCs w:val="18"/>
              </w:rPr>
              <w:t xml:space="preserve">[ ] Correcto   [ ] Corregir</w:t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Fiebre alta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Común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Ictericia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Común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Debilidad general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Común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Pérdida de peso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Ocasional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Letargia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Ocasional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40"/>
      </w:pPr>
      <w:r>
        <w:rPr>
          <w:b/>
          <w:bCs/>
          <w:color w:val="1F3864"/>
          <w:sz w:val="21"/>
          <w:szCs w:val="21"/>
        </w:rPr>
        <w:t xml:space="preserve">Paratuberculosis (Johne)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1960"/>
      </w:tblGrid>
      <w:tr>
        <w:trPr>
          <w:tblHeader/>
        </w:trP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Síntoma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Relevancia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Validación</w:t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Diarrea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Patognomónico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8A6D00"/>
                <w:sz w:val="18"/>
                <w:szCs w:val="18"/>
              </w:rPr>
              <w:t xml:space="preserve">[ ] Correcto   [ ] Corregir</w:t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Pérdida de peso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Patognomónico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Debilidad general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Común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Disminución de producción láctea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Común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Anorexia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Ocasional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40"/>
      </w:pPr>
      <w:r>
        <w:rPr>
          <w:b/>
          <w:bCs/>
          <w:color w:val="1F3864"/>
          <w:sz w:val="21"/>
          <w:szCs w:val="21"/>
        </w:rPr>
        <w:t xml:space="preserve">Edema Maligno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1960"/>
      </w:tblGrid>
      <w:tr>
        <w:trPr>
          <w:tblHeader/>
        </w:trP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Síntoma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Relevancia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Validación</w:t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Edema en extremidades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Patognomónico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8A6D00"/>
                <w:sz w:val="18"/>
                <w:szCs w:val="18"/>
              </w:rPr>
              <w:t xml:space="preserve">[ ] Correcto   [ ] Corregir</w:t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Fiebre alta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Común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Muerte súbita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Común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Debilidad general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Común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Cojera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Ocasional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40"/>
      </w:pPr>
      <w:r>
        <w:rPr>
          <w:b/>
          <w:bCs/>
          <w:color w:val="1F3864"/>
          <w:sz w:val="21"/>
          <w:szCs w:val="21"/>
        </w:rPr>
        <w:t xml:space="preserve">Hemoglobinuria Bacilar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1960"/>
      </w:tblGrid>
      <w:tr>
        <w:trPr>
          <w:tblHeader/>
        </w:trP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Síntoma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Relevancia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Validación</w:t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Hemoglobinuria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Patognomónico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8A6D00"/>
                <w:sz w:val="18"/>
                <w:szCs w:val="18"/>
              </w:rPr>
              <w:t xml:space="preserve">[ ] Correcto   [ ] Corregir</w:t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Anemia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Común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Ictericia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Común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Fiebre alta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Común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Muerte súbita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Ocasional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40"/>
      </w:pPr>
      <w:r>
        <w:rPr>
          <w:b/>
          <w:bCs/>
          <w:color w:val="1F3864"/>
          <w:sz w:val="21"/>
          <w:szCs w:val="21"/>
        </w:rPr>
        <w:t xml:space="preserve">Hepatitis Necrótica Infecciosa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1960"/>
      </w:tblGrid>
      <w:tr>
        <w:trPr>
          <w:tblHeader/>
        </w:trP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Síntoma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Relevancia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Validación</w:t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Muerte súbita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Patognomónico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8A6D00"/>
                <w:sz w:val="18"/>
                <w:szCs w:val="18"/>
              </w:rPr>
              <w:t xml:space="preserve">[ ] Correcto   [ ] Corregir</w:t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Ictericia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Común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Fiebre alta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Común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Debilidad general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Común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Anorexia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Ocasional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pageBreakBefore/>
      </w:pPr>
      <w:r>
        <w:t xml:space="preserve">3. Vías de transmisión</w:t>
      </w:r>
    </w:p>
    <w:p>
      <w:pPr>
        <w:spacing w:after="160" w:before="0"/>
      </w:pPr>
      <w:r>
        <w:rPr>
          <w:i/>
          <w:iCs/>
          <w:color w:val="B00000"/>
        </w:rPr>
        <w:t xml:space="preserve">Prioridad ALTA — 100% generado. Validar las vías asignadas a cada enfermedad.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400"/>
        <w:gridCol w:w="19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Enfermedad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Vías de transmisión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Validación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Tricomoniasis Bovina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Transmisión sexual, Contacto directo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8A6D00"/>
                <w:sz w:val="18"/>
                <w:szCs w:val="18"/>
              </w:rPr>
              <w:t xml:space="preserve">[ ] Correcto   [ ] Corregir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Pododermatitis (Foot Rot)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Suelo contaminado, Contacto directo, Heridas y lesiones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8A6D00"/>
                <w:sz w:val="18"/>
                <w:szCs w:val="18"/>
              </w:rPr>
              <w:t xml:space="preserve">[ ] Correcto   [ ] Corregir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Dermatosis Nodular Contagiosa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Vectores hematófagos, Contacto directo, Contacto indirecto (fómites)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8A6D00"/>
                <w:sz w:val="18"/>
                <w:szCs w:val="18"/>
              </w:rPr>
              <w:t xml:space="preserve">[ ] Correcto   [ ] Corregir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Lengua Azul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Vectores hematófagos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8A6D00"/>
                <w:sz w:val="18"/>
                <w:szCs w:val="18"/>
              </w:rPr>
              <w:t xml:space="preserve">[ ] Correcto   [ ] Corregir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Teileriosis Bovina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Vectores hematófagos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8A6D00"/>
                <w:sz w:val="18"/>
                <w:szCs w:val="18"/>
              </w:rPr>
              <w:t xml:space="preserve">[ ] Correcto   [ ] Corregir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Paratuberculosis (Johne)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Alimento contaminado, Agua contaminada, Transmisión vertical, Contacto directo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8A6D00"/>
                <w:sz w:val="18"/>
                <w:szCs w:val="18"/>
              </w:rPr>
              <w:t xml:space="preserve">[ ] Correcto   [ ] Corregir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Edema Maligno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Heridas y lesiones, Suelo contaminado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8A6D00"/>
                <w:sz w:val="18"/>
                <w:szCs w:val="18"/>
              </w:rPr>
              <w:t xml:space="preserve">[ ] Correcto   [ ] Corregir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Hemoglobinuria Bacilar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Alimento contaminado, Agua contaminada, Suelo contaminado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8A6D00"/>
                <w:sz w:val="18"/>
                <w:szCs w:val="18"/>
              </w:rPr>
              <w:t xml:space="preserve">[ ] Correcto   [ ] Corregir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Hepatitis Necrótica Infecciosa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Alimento contaminado, Suelo contaminado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8A6D00"/>
                <w:sz w:val="18"/>
                <w:szCs w:val="18"/>
              </w:rPr>
              <w:t xml:space="preserve">[ ] Correcto   [ ] Corregir</w:t>
            </w:r>
          </w:p>
        </w:tc>
      </w:tr>
    </w:tbl>
    <w:p>
      <w:pPr>
        <w:pStyle w:val="Heading1"/>
        <w:pageBreakBefore/>
      </w:pPr>
      <w:r>
        <w:t xml:space="preserve">4. Catálogo de protección vacunal</w:t>
      </w:r>
    </w:p>
    <w:p>
      <w:pPr>
        <w:spacing w:after="160" w:before="0"/>
      </w:pPr>
      <w:r>
        <w:rPr>
          <w:i/>
          <w:iCs/>
          <w:color w:val="B00000"/>
        </w:rPr>
        <w:t xml:space="preserve">Prioridad MEDIA — Base proporcionada por el cliente, pero con decisiones de mapeo, rangos convertidos y tipos añadidos. Revisar columna "Origen".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900"/>
        <w:gridCol w:w="760"/>
        <w:gridCol w:w="23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 de vacuna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Enfermedad(es) que previene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Inmun. (días)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Dosis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Origen / nota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BRUCELLOSIS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Brucelosis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365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 dato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RABIES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Rabia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365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 dato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ANTHRAX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Carbunco (Ántrax)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365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 dato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FOOT_AND_MOUTH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Fiebre Aftosa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270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Derivado de rango 180–365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LEPTOSPIROSIS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Leptospirosis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365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 dato (365/180 alto riesgo)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CAMPYLOBACTER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Campilobacteriosis genital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365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 dato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TRICHOMONIASIS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Tricomoniasis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365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 dato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PINKEYE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Queratoconjuntivitis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270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Derivado de rango 180–365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NEONATAL_DIARRHEA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Diarrea neonatal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180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Interpretación de "protección calostral"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SALMONELLA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Salmonelosis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365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 dato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FUSOBACTERIUM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Pododermatitis (Foot rot)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365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 dato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LUMPY_SKIN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Dermatosis nodular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365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 dato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BLUETONGUE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Lengua azul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365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 dato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THEILERIA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Teileriosis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365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 dato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PARATUBERCULOSIS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Paratuberculosis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365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 dato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CLOSTRIDIAL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Pierna negra, Edema maligno, Enterotoxemia, Tétanos, Hemoglobinuria bacilar, Hepatitis necrótica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365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Mapeo a 6 enfermedades (generado)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RESPIRATORY_COMPLEX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IBR, BVD, Parainfluenza, RSV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365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Mapeo a 4 enfermedades (generado)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PASTEURELLA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Pasteurelosis, Neumonía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270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Derivado de rango 180–365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BABESIA_ANAPLASMA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Babesiosis, Anaplasmosis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365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Mapeo a 2 enfermedades (generado)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IBR (monovalente)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Rinotraqueítis (IBR)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365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3E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AÑADIDO por mí (no en tu tabla)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BVD (monovalente)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Diarrea Viral Bovina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365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3E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AÑADIDO por mí (no en tu tabla)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VIRAL_DIARRHEA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Diarrea Viral Bovina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365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3E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AÑADIDO por mí (no en tu tabla)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BLACKLEG (monovalente)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Pierna negra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365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3E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AÑADIDO por mí (no en tu tabla)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TETANUS (monovalente)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Tétanos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365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3E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AÑADIDO por mí (no en tu tabla)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PARAINFLUENZA (monoval.)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Parainfluenza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365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3E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AÑADIDO por mí (no en tu tabla)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RSV (monovalente)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Sincitial respiratorio (RSV)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365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3E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AÑADIDO por mí (no en tu tabla)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20" w:before="0"/>
      </w:pPr>
      <w:r>
        <w:rPr>
          <w:b/>
          <w:bCs/>
          <w:sz w:val="18"/>
          <w:szCs w:val="18"/>
        </w:rPr>
        <w:t xml:space="preserve">Leyenda: </w:t>
      </w:r>
      <w:r>
        <w:rPr>
          <w:color w:val="555555"/>
          <w:sz w:val="18"/>
          <w:szCs w:val="18"/>
        </w:rPr>
        <w:t xml:space="preserve">Amarillo = valor derivado/interpretado por mí.  Rojo = tipo de vacuna que añadí y no estaba en tu tabla original.</w:t>
      </w:r>
    </w:p>
    <w:p>
      <w:pPr>
        <w:pStyle w:val="Heading1"/>
        <w:pageBreakBefore/>
      </w:pPr>
      <w:r>
        <w:t xml:space="preserve">5. Decisiones de lógica con implicación clínica</w:t>
      </w:r>
    </w:p>
    <w:p>
      <w:pPr>
        <w:spacing w:after="160" w:before="0"/>
      </w:pPr>
      <w:r>
        <w:rPr>
          <w:i/>
          <w:iCs/>
          <w:color w:val="B00000"/>
        </w:rPr>
        <w:t xml:space="preserve">Prioridad MEDIA — Reglas programadas con criterio clínico/epidemiológico general.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400"/>
        <w:gridCol w:w="19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Validación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Interpretación de "días de inmunidad"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definió como intervalo operativo de revacunación. Validar que la equivalencia es aceptable.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8A6D00"/>
                <w:sz w:val="18"/>
                <w:szCs w:val="18"/>
              </w:rPr>
              <w:t xml:space="preserve">[ ] Correcto   [ ] Corregir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Factor de reducción de confianza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 un bovino estaba vacunado, la confianza del contacto epidemiológico se reduce a la mitad (×0.5, mínimo 0.1). El 0.5 es arbitrario, no clínico.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8A6D00"/>
                <w:sz w:val="18"/>
                <w:szCs w:val="18"/>
              </w:rPr>
              <w:t xml:space="preserve">[ ] Correcto   [ ] Corregir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Criterio de "breakthrough" (fallo vacunal)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 caso se marca como fallo vacunal si el bovino tenía protección activa al diagnosticarse. Validar criterio.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8A6D00"/>
                <w:sz w:val="18"/>
                <w:szCs w:val="18"/>
              </w:rPr>
              <w:t xml:space="preserve">[ ] Correcto   [ ] Corregir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Ventana de incubación por defecto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Cuando una enfermedad no tiene incubación máxima, se usan 21 días por defecto en la detección de contactos.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8A6D00"/>
                <w:sz w:val="18"/>
                <w:szCs w:val="18"/>
              </w:rPr>
              <w:t xml:space="preserve">[ ] Correcto   [ ] Corregir</w:t>
            </w:r>
          </w:p>
        </w:tc>
      </w:tr>
    </w:tbl>
    <w:p>
      <w:pPr>
        <w:pStyle w:val="Heading1"/>
        <w:pageBreakBefore/>
      </w:pPr>
      <w:r>
        <w:t xml:space="preserve">6. Validación profesional</w:t>
      </w:r>
    </w:p>
    <w:p>
      <w:pPr>
        <w:spacing w:after="200" w:before="0"/>
      </w:pPr>
      <w:r>
        <w:t xml:space="preserve">Una vez revisado el documento, complete los siguientes campos: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Nombre del Médico Veterinario: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Cédula profesional: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Fecha de revisión: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Firma: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0" w:before="0"/>
      </w:pPr>
      <w:r>
        <w:rPr>
          <w:b/>
          <w:bCs/>
        </w:rPr>
        <w:t xml:space="preserve">Observaciones generales:</w:t>
      </w:r>
    </w:p>
    <w:p>
      <w:pPr>
        <w:spacing w:after="200" w:before="0"/>
      </w:pPr>
      <w:r>
        <w:t xml:space="preserve">_________________________________________________________________________________</w:t>
      </w:r>
    </w:p>
    <w:p>
      <w:pPr>
        <w:spacing w:after="200" w:before="0"/>
      </w:pPr>
      <w:r>
        <w:t xml:space="preserve">_________________________________________________________________________________</w:t>
      </w:r>
    </w:p>
    <w:p>
      <w:pPr>
        <w:spacing w:after="200" w:before="0"/>
      </w:pPr>
      <w:r>
        <w:t xml:space="preserve">_________________________________________________________________________________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A88" w:sz="4" w:space="4"/>
      </w:pBdr>
      <w:jc w:val="right"/>
    </w:pPr>
    <w:r>
      <w:rPr>
        <w:color w:val="888888"/>
        <w:sz w:val="16"/>
        <w:szCs w:val="16"/>
      </w:rPr>
      <w:t xml:space="preserve">Revisión Veterinaria —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/>
    </w:pPr>
    <w:rPr>
      <w:rFonts w:ascii="Arial" w:cs="Arial" w:eastAsia="Arial" w:hAnsi="Arial"/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2026-05-30T14:34:26.643Z</dcterms:created>
  <dcterms:modified xsi:type="dcterms:W3CDTF">2026-05-30T14:34:26.652Z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