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Procedimiento de Backup y Recuperación (Ejemplo)</w:t>
      </w:r>
    </w:p>
    <w:p>
      <w:pPr>
        <w:pStyle w:val="Heading2"/>
      </w:pPr>
      <w:r>
        <w:t>Pasos</w:t>
      </w:r>
    </w:p>
    <w:p>
      <w:r>
        <w:t>1. Definir políticas de retención y cifrado</w:t>
      </w:r>
    </w:p>
    <w:p>
      <w:r>
        <w:t>2. Monitorear ejecuciones</w:t>
      </w:r>
    </w:p>
    <w:p>
      <w:r>
        <w:t>3. Pruebas periódicas de restauración</w:t>
      </w:r>
    </w:p>
    <w:p>
      <w:r>
        <w:t>4. Revisión de resultados y correcciones</w:t>
      </w:r>
    </w:p>
    <w:p>
      <w:pPr>
        <w:pStyle w:val="Heading2"/>
      </w:pPr>
      <w:r>
        <w:t>Registros/Evidencias</w:t>
      </w:r>
    </w:p>
    <w:p>
      <w:pPr>
        <w:pStyle w:val="ListBullet"/>
      </w:pPr>
      <w:r>
        <w:t>• Reportes de backup; bitácoras de restauración; inventario de medios</w:t>
      </w:r>
    </w:p>
    <w:p>
      <w:r>
        <w:t>Nota: adaptar a &lt;CLIENTE&gt;.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E2C7D93F918E46911B4269CF02CEB6" ma:contentTypeVersion="0" ma:contentTypeDescription="Crear nuevo documento." ma:contentTypeScope="" ma:versionID="85fa1ea67f0103f8a29ab35cb82b3bd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296C0F-0425-486F-A20F-C52E7FB8684C}"/>
</file>

<file path=customXml/itemProps3.xml><?xml version="1.0" encoding="utf-8"?>
<ds:datastoreItem xmlns:ds="http://schemas.openxmlformats.org/officeDocument/2006/customXml" ds:itemID="{F8B53F9E-417F-4BD3-9795-5E58BD7D7FD8}"/>
</file>

<file path=customXml/itemProps4.xml><?xml version="1.0" encoding="utf-8"?>
<ds:datastoreItem xmlns:ds="http://schemas.openxmlformats.org/officeDocument/2006/customXml" ds:itemID="{1CB02C6C-1C61-4B80-9CEE-AEAE2BE0C3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0x01010068E2C7D93F918E46911B4269CF02CEB6</vt:lpwstr>
  </property>
  <property fmtid="{D5CDD505-2E9C-101B-9397-08002B2CF9AE}" pid="3" name="Order">
    <vt:r8>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