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Procedimiento de Gestión de Cambios (Ejemplo)</w:t>
      </w:r>
    </w:p>
    <w:p>
      <w:pPr>
        <w:pStyle w:val="Heading2"/>
      </w:pPr>
      <w:r>
        <w:t>Pasos</w:t>
      </w:r>
    </w:p>
    <w:p>
      <w:r>
        <w:t>1. Ticket con plan/pruebas/reversa</w:t>
      </w:r>
    </w:p>
    <w:p>
      <w:r>
        <w:t>2. Revisión por pares y CAB</w:t>
      </w:r>
    </w:p>
    <w:p>
      <w:r>
        <w:t>3. Ejecución en ventana autorizada</w:t>
      </w:r>
    </w:p>
    <w:p>
      <w:r>
        <w:t>4. Verificación post‑cambio y cierre</w:t>
      </w:r>
    </w:p>
    <w:p>
      <w:pPr>
        <w:pStyle w:val="Heading2"/>
      </w:pPr>
      <w:r>
        <w:t>Registros/Evidencias</w:t>
      </w:r>
    </w:p>
    <w:p>
      <w:pPr>
        <w:pStyle w:val="ListBullet"/>
      </w:pPr>
      <w:r>
        <w:t>• Tickets ITSM; evidencias CI/CD; aprobaciones CAB; resultados de pruebas</w:t>
      </w:r>
    </w:p>
    <w:p>
      <w:r>
        <w:t>Nota: adaptar a &lt;CLIENTE&gt;.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E2C7D93F918E46911B4269CF02CEB6" ma:contentTypeVersion="0" ma:contentTypeDescription="Crear nuevo documento." ma:contentTypeScope="" ma:versionID="85fa1ea67f0103f8a29ab35cb82b3bd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B35459-2BA6-4B2F-AFB2-24C59D3AE850}"/>
</file>

<file path=customXml/itemProps3.xml><?xml version="1.0" encoding="utf-8"?>
<ds:datastoreItem xmlns:ds="http://schemas.openxmlformats.org/officeDocument/2006/customXml" ds:itemID="{76F677D7-2B7C-43DD-9A50-FFE3629D23FA}"/>
</file>

<file path=customXml/itemProps4.xml><?xml version="1.0" encoding="utf-8"?>
<ds:datastoreItem xmlns:ds="http://schemas.openxmlformats.org/officeDocument/2006/customXml" ds:itemID="{08D25D87-4FBC-4F4A-84F5-6F041DF249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0x01010068E2C7D93F918E46911B4269CF02CEB6</vt:lpwstr>
  </property>
  <property fmtid="{D5CDD505-2E9C-101B-9397-08002B2CF9AE}" pid="3" name="Order">
    <vt:r8>6700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