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Identificación del problema y análisis de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Caso de Estudio : PokeCollector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Pokemon Company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Designados por el cliente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RF1: Registrar Cartas con id único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RF2: Ordenar cartas por puntos de vida de mayor a menor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Contexto del problema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center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Pokemon Company necesita un sistema que permita gestionar su inventario de cartas “PokeCollector". Esta gestión permitirá al usuario registrar, consultar, actualizar y eliminar información sobre cada carta. El sistema prioriza la singularidad de cada carta mediante un ID único, ordena las cartas por puntos de vida y ofrece una interfaz sencilla para interactuar con los datos.  Para ello se requiere que el usuario registre información sobre las cartas como, id, nombre de carta, puntos de vida, tipo y rareza.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no funcionales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intuitiva y agradable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Modularidad para posibles expansiones futuras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Requerimientos de proceso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en Java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ivl7ue81uh96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mediante el paradigma de POO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ns7oyr2ugqin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Contener la documentación respectiva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bn71h0rmqm6q" w:id="3"/>
            <w:bookmarkEnd w:id="3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Uso adecuado de la metodología CRUD.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5" w:tblpY="19.855957031248295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RF1: Registrar Cartas con id único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El sistema  permite a partir de un id único, validarlo siempre que no se repita, e informar el estado de la validación al usuario. Luego de validar e id previamente ingresado, el usuario deberá ingresar los siguiente datos: nombre de carta, puntos de vida, tipo y rareza. Seguidamente, se mostrarán mensajes en pantalla por cada solicitud y validación, para luego almacenar estos datos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-diferente a todos los demás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-de uno de los pokemons existentes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puntosVida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-no contener letras ni caracteres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-Debe ser una de las opciones válidas(Agua, Fuego, Viento etc…)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rareza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-Debe ser una de las opciones válidas(Básico,Raro,Mítico o legendario)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Construida la carta, se procede a almacenarla en memoria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Respuesta.true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“!registro exitoso¡”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Respuesta.false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865"/>
        <w:gridCol w:w="1860"/>
        <w:gridCol w:w="90"/>
        <w:gridCol w:w="2268"/>
        <w:gridCol w:w="2277"/>
        <w:tblGridChange w:id="0">
          <w:tblGrid>
            <w:gridCol w:w="2865"/>
            <w:gridCol w:w="1860"/>
            <w:gridCol w:w="90"/>
            <w:gridCol w:w="2268"/>
            <w:gridCol w:w="22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y nombre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RF2: Ordenar cartas por puntos de vida de mayor a 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Resumen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El sistema permite a partir de los puntos de vida de cada carta, ordenarlas de mayor a menor para así mostrarlas al usuario, en una posterior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 valores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o Postcondición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cartas del arreglo memoria quedan ordenadas por puntos de vidad de menor a mayor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Salidas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salida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Formato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construirListaDeCartas()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2"/>
                <w:szCs w:val="12"/>
                <w:rtl w:val="0"/>
              </w:rPr>
              <w:t xml:space="preserve">“|Id||Nombre||Puntos de vida||Tipo|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2"/>
                <w:szCs w:val="12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