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del Sector Energético Colombiano</w:t>
      </w:r>
    </w:p>
    <w:p>
      <w:r>
        <w:t>1. Trump administration imposes tariffs on certain products, affecting global economy and causing uncertainty. Gold, silver, and copper see increased demand as safe haven assets during economic instability. Gold reaches a new historic high of nearly $3,200 per ounce due to its role as a safe haven asset, capable of withstanding crises.</w:t>
      </w:r>
    </w:p>
    <w:p>
      <w:r>
        <w:t>2. Inser MedellÃ­n obtains Joint Commission International (JCI) accreditation for outpatient care, meeting international standards in areas such as patient safety, staff education, quality improvement, and data management. The JCI accreditation drives improvements across various aspects of Inser MedellÃ­n's operations, enabling continuous quality enhancement.</w:t>
      </w:r>
    </w:p>
    <w:p>
      <w:r>
        <w:t>3. Third-party payroll processing (tercerizaciÃ³n de nÃ³mina) is a crucial tool for resource optimization and compliance with regulations, especially in Colombia. Benefits include cost reduction, access to advanced technology, and guaranteed legal compliance. Outsourcing payroll also significantly improves operational efficiency by allowing companies to focus on core activities. Specialized companies like Eficacia guarantee savings in time and resources while ensuring accurate and timely employee payments.</w:t>
      </w:r>
    </w:p>
    <w:p>
      <w:r>
        <w:t>4. In Colombia, 40% of households now own their homes. Subsidies for housing are proposed as a solution for millions across the country. Caja de CompensaciÃ³n Familiar offers economic support for the acquisition, construction, or improvement of properties, especially for those within the compensation system. Eligibility requirements include affiliation with a family compensation fund, having family income below 4 minimum salaries, not being property owners in Colombia, and not having previously received housing subsidies. The application process involves submitting required documents to the corresponding family compensation caja, followed by review of eligibility and availability of resources. If approved, the subsidy can be used for purchasing, constructing, or improving a socially-interesting dwelling (VIS).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