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b="0" l="0" r="0" t="0"/>
            <wp:wrapSquare wrapText="bothSides" distB="0" distT="0" distL="114300" distR="114300"/>
            <wp:docPr descr="Archivo:UNMSM coatofarms seal.svg - Wikipedia, la enciclopedia libre" id="54" name="image4.png"/>
            <a:graphic>
              <a:graphicData uri="http://schemas.openxmlformats.org/drawingml/2006/picture">
                <pic:pic>
                  <pic:nvPicPr>
                    <pic:cNvPr descr="Archivo:UNMSM coatofarms seal.svg - Wikipedia, la enciclopedia libr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ServiceHomeStore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4"/>
          <w:szCs w:val="4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Especificación de Caso de Uso: Borrar servicio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2.0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9/11/2020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Aquino Cristian, Maita Andres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Especificación de requisitos Borrar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00"/>
                <w:sz w:val="22"/>
                <w:szCs w:val="22"/>
              </w:rPr>
            </w:pPr>
            <w:bookmarkStart w:colFirst="0" w:colLast="0" w:name="_heading=h.35nkun2" w:id="3"/>
            <w:bookmarkEnd w:id="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Aquino Cristian, Maita Andres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1815"/>
        </w:tabs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15"/>
        </w:tabs>
        <w:spacing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15"/>
        </w:tabs>
        <w:spacing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15"/>
        </w:tabs>
        <w:spacing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15"/>
        </w:tabs>
        <w:spacing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15"/>
        </w:tabs>
        <w:spacing w:before="600" w:lineRule="auto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0" w:before="360" w:lineRule="auto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smallCaps w:val="1"/>
                <w:sz w:val="28"/>
                <w:szCs w:val="28"/>
                <w:rtl w:val="0"/>
              </w:rPr>
              <w:t xml:space="preserve">ESPECIFICACIÓN DE CASO DE USO: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0" w:before="360" w:lineRule="auto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sz w:val="28"/>
              <w:szCs w:val="28"/>
              <w:rtl w:val="0"/>
            </w:rPr>
            <w:t xml:space="preserve">CU004-borrar servicio</w:t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 </w:t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after="0" w:before="360" w:lineRule="auto"/>
            <w:jc w:val="left"/>
            <w:rPr>
              <w:rFonts w:ascii="Calibri" w:cs="Calibri" w:eastAsia="Calibri" w:hAnsi="Calibri"/>
              <w:sz w:val="28"/>
              <w:szCs w:val="28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smallCaps w:val="1"/>
                <w:sz w:val="28"/>
                <w:szCs w:val="28"/>
                <w:rtl w:val="0"/>
              </w:rPr>
              <w:t xml:space="preserve">1.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8"/>
              <w:szCs w:val="28"/>
              <w:rtl w:val="0"/>
            </w:rPr>
            <w:t xml:space="preserve">DESCRIPCIÓN GENERAL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after="0" w:before="240" w:lineRule="auto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1.1</w:t>
            <w:tab/>
            <w:t xml:space="preserve">Diagrama de Casos de Usos</w:t>
            <w:tab/>
            <w:t xml:space="preserve">5</w:t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after="0" w:before="240" w:lineRule="auto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1.2</w:t>
            <w:tab/>
            <w:t xml:space="preserve">Breve Descripción</w:t>
            <w:tab/>
            <w:t xml:space="preserve">5</w:t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after="0" w:before="240" w:lineRule="auto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1.3</w:t>
            <w:tab/>
            <w:t xml:space="preserve">Actores</w:t>
            <w:tab/>
            <w:t xml:space="preserve">5</w:t>
          </w:r>
        </w:p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after="0" w:before="240" w:lineRule="auto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1.4</w:t>
            <w:tab/>
            <w:t xml:space="preserve">Precondiciones</w:t>
            <w:tab/>
            <w:t xml:space="preserve">5</w:t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after="0" w:before="240" w:lineRule="auto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1.5</w:t>
            <w:tab/>
            <w:t xml:space="preserve">Pos Condiciones</w:t>
            <w:tab/>
            <w:t xml:space="preserve">6</w:t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after="0" w:before="240" w:lineRule="auto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1.6</w:t>
            <w:tab/>
            <w:t xml:space="preserve">Flujo Básico</w:t>
            <w:tab/>
            <w:t xml:space="preserve">6</w:t>
          </w:r>
        </w:p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after="0" w:before="240" w:lineRule="auto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1.7</w:t>
            <w:tab/>
            <w:t xml:space="preserve">Excepciones</w:t>
            <w:tab/>
            <w:t xml:space="preserve">6</w:t>
          </w:r>
        </w:p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after="0" w:before="240" w:lineRule="auto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1.8</w:t>
            <w:tab/>
            <w:t xml:space="preserve">Prototipos visuales</w:t>
            <w:tab/>
            <w:t xml:space="preserve">7</w:t>
          </w:r>
        </w:p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after="0" w:before="240" w:lineRule="auto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1.9</w:t>
            <w:tab/>
            <w:t xml:space="preserve">Requerimientos no funcionales</w:t>
            <w:tab/>
            <w:t xml:space="preserve">7</w:t>
          </w:r>
        </w:p>
        <w:p w:rsidR="00000000" w:rsidDel="00000000" w:rsidP="00000000" w:rsidRDefault="00000000" w:rsidRPr="00000000" w14:paraId="0000004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before="0" w:line="276" w:lineRule="auto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keepNext w:val="1"/>
        <w:numPr>
          <w:ilvl w:val="0"/>
          <w:numId w:val="3"/>
        </w:numPr>
        <w:spacing w:after="360" w:before="360" w:lineRule="auto"/>
        <w:ind w:left="1578" w:hanging="360"/>
        <w:jc w:val="center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Borrar servicio</w:t>
      </w:r>
    </w:p>
    <w:p w:rsidR="00000000" w:rsidDel="00000000" w:rsidP="00000000" w:rsidRDefault="00000000" w:rsidRPr="00000000" w14:paraId="0000004D">
      <w:pPr>
        <w:keepNext w:val="1"/>
        <w:spacing w:after="240" w:before="240" w:lineRule="auto"/>
        <w:ind w:left="15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Usos</w:t>
      </w:r>
    </w:p>
    <w:p w:rsidR="00000000" w:rsidDel="00000000" w:rsidP="00000000" w:rsidRDefault="00000000" w:rsidRPr="00000000" w14:paraId="0000004E">
      <w:pPr>
        <w:keepNext w:val="1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03913" cy="3600450"/>
            <wp:effectExtent b="0" l="0" r="0" t="0"/>
            <wp:docPr id="5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-3585" r="24005" t="6042"/>
                    <a:stretch>
                      <a:fillRect/>
                    </a:stretch>
                  </pic:blipFill>
                  <pic:spPr>
                    <a:xfrm>
                      <a:off x="0" y="0"/>
                      <a:ext cx="4603913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Figura 1. Prototipo del Caso de uso: Borrar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spacing w:after="240" w:before="240" w:lineRule="auto"/>
        <w:ind w:left="15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51">
      <w:pPr>
        <w:keepNext w:val="1"/>
        <w:spacing w:after="240" w:before="240" w:lineRule="auto"/>
        <w:ind w:left="-14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Con esta funcionalidad el usuario puede seleccionar algunos de los servicios que está ofreciendo y borrarlas en caso ya no las ofrece, posteriormente este servicio será eliminado y será actualizado en nuestra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pacing w:after="240" w:before="240" w:lineRule="auto"/>
        <w:ind w:left="15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Actores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Usuario: Con este nombre se ha generalizado a cualquier usuario que utilice el sistema de venta y adquisición de servicios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SVA: Sistema de Venta y adquisición de servicios.</w:t>
      </w:r>
    </w:p>
    <w:p w:rsidR="00000000" w:rsidDel="00000000" w:rsidP="00000000" w:rsidRDefault="00000000" w:rsidRPr="00000000" w14:paraId="00000055">
      <w:pPr>
        <w:keepNext w:val="1"/>
        <w:spacing w:after="240" w:before="240" w:lineRule="auto"/>
        <w:ind w:left="15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 condiciones</w:t>
      </w:r>
    </w:p>
    <w:p w:rsidR="00000000" w:rsidDel="00000000" w:rsidP="00000000" w:rsidRDefault="00000000" w:rsidRPr="00000000" w14:paraId="00000056">
      <w:pPr>
        <w:keepNext w:val="1"/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debe haber registrado previamente el la página web ServiceHomeStore.</w:t>
      </w:r>
    </w:p>
    <w:p w:rsidR="00000000" w:rsidDel="00000000" w:rsidP="00000000" w:rsidRDefault="00000000" w:rsidRPr="00000000" w14:paraId="00000057">
      <w:pPr>
        <w:keepNext w:val="1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debe iniciar sesión en la página web ServiceHomeStore.</w:t>
      </w:r>
    </w:p>
    <w:p w:rsidR="00000000" w:rsidDel="00000000" w:rsidP="00000000" w:rsidRDefault="00000000" w:rsidRPr="00000000" w14:paraId="00000058">
      <w:pPr>
        <w:keepNext w:val="1"/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debe de haber registrado por lo menos un servicio.</w:t>
      </w:r>
    </w:p>
    <w:p w:rsidR="00000000" w:rsidDel="00000000" w:rsidP="00000000" w:rsidRDefault="00000000" w:rsidRPr="00000000" w14:paraId="00000059">
      <w:pPr>
        <w:keepNext w:val="1"/>
        <w:spacing w:after="240" w:before="240" w:lineRule="auto"/>
        <w:ind w:left="15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condiciones</w:t>
      </w:r>
    </w:p>
    <w:p w:rsidR="00000000" w:rsidDel="00000000" w:rsidP="00000000" w:rsidRDefault="00000000" w:rsidRPr="00000000" w14:paraId="0000005A">
      <w:pPr>
        <w:keepNext w:val="1"/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logueado y con la posibilidad de borrar algún servicio que haya registrado previamente.</w:t>
      </w:r>
    </w:p>
    <w:p w:rsidR="00000000" w:rsidDel="00000000" w:rsidP="00000000" w:rsidRDefault="00000000" w:rsidRPr="00000000" w14:paraId="0000005B">
      <w:pPr>
        <w:keepNext w:val="1"/>
        <w:spacing w:after="240" w:before="240" w:lineRule="auto"/>
        <w:ind w:left="15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Flujo básico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1. El usuario inicia sesión en ServiceHomeStore y entra a la opción ofrecer servicios.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2. El sistema muestra la interfaz para ofrecer servicios.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3. El usuario busca el servicio que desea borrar.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3. El usuario presiona el botón borrar.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4. El sistema mostrará una pequeña ventana que confirmara si se quiere borrar el servicio.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5. El usuario confirmará el mensaje o cancelara.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7. El sistema mostrará un mensaje que indica que el servicio fue borrada con exito.</w:t>
      </w:r>
    </w:p>
    <w:p w:rsidR="00000000" w:rsidDel="00000000" w:rsidP="00000000" w:rsidRDefault="00000000" w:rsidRPr="00000000" w14:paraId="00000063">
      <w:pPr>
        <w:keepNext w:val="1"/>
        <w:spacing w:after="240" w:before="240" w:lineRule="auto"/>
        <w:ind w:left="15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Flujo alternativo 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1. El usuario inicia sesión en ServiceHomeStore y entra a la opción ofrecer servicios.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2. El sistema muestra la interfaz de ofrecer servicios.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3. El usuario busca el servicio que desea borrar.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3. El usuario presiona el botón editar.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4.El sistema muestra la interfaz editar servicios. 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5. El usuario ya no desea editar un servicio y presiona el botón regresar.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6. El sistema regresa al interfaz de ofrecer servicios.</w:t>
      </w:r>
    </w:p>
    <w:p w:rsidR="00000000" w:rsidDel="00000000" w:rsidP="00000000" w:rsidRDefault="00000000" w:rsidRPr="00000000" w14:paraId="0000006B">
      <w:pPr>
        <w:keepNext w:val="1"/>
        <w:spacing w:after="240" w:before="240" w:lineRule="auto"/>
        <w:ind w:left="15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actividades</w:t>
      </w:r>
    </w:p>
    <w:p w:rsidR="00000000" w:rsidDel="00000000" w:rsidP="00000000" w:rsidRDefault="00000000" w:rsidRPr="00000000" w14:paraId="0000006C">
      <w:pPr>
        <w:keepNext w:val="1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56001" cy="5588979"/>
            <wp:effectExtent b="0" l="0" r="0" t="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6001" cy="558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Figura 2. Diagrama de actividades de editar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spacing w:after="240" w:before="240" w:lineRule="auto"/>
        <w:ind w:left="15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Excepciones</w:t>
      </w:r>
    </w:p>
    <w:p w:rsidR="00000000" w:rsidDel="00000000" w:rsidP="00000000" w:rsidRDefault="00000000" w:rsidRPr="00000000" w14:paraId="0000006F">
      <w:pPr>
        <w:keepNext w:val="1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[EX1]: Validar información de la base de datos</w:t>
      </w:r>
    </w:p>
    <w:p w:rsidR="00000000" w:rsidDel="00000000" w:rsidP="00000000" w:rsidRDefault="00000000" w:rsidRPr="00000000" w14:paraId="00000070">
      <w:pPr>
        <w:keepNext w:val="1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validará que la información sea correcta con respecto a los campos que se está rellenando, por ejemplo si al modificar el precio, el sistema no permitirá que se registre caracteres diferentes a números, así como al modificar la imagen no permite que sea de tipo gif.</w:t>
      </w:r>
    </w:p>
    <w:p w:rsidR="00000000" w:rsidDel="00000000" w:rsidP="00000000" w:rsidRDefault="00000000" w:rsidRPr="00000000" w14:paraId="00000071">
      <w:pPr>
        <w:keepNext w:val="1"/>
        <w:spacing w:after="240" w:before="240" w:lineRule="auto"/>
        <w:ind w:left="15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Prototipos visuales</w:t>
      </w:r>
    </w:p>
    <w:p w:rsidR="00000000" w:rsidDel="00000000" w:rsidP="00000000" w:rsidRDefault="00000000" w:rsidRPr="00000000" w14:paraId="00000072">
      <w:pPr>
        <w:keepNext w:val="1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057525" cy="1990725"/>
            <wp:effectExtent b="0" l="0" r="0" t="0"/>
            <wp:docPr id="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Figura 3. Prototipo del interfaz borrar servicio</w:t>
      </w:r>
    </w:p>
    <w:p w:rsidR="00000000" w:rsidDel="00000000" w:rsidP="00000000" w:rsidRDefault="00000000" w:rsidRPr="00000000" w14:paraId="00000074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5399730" cy="3784600"/>
            <wp:effectExtent b="0" l="0" r="0" t="0"/>
            <wp:docPr id="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Figura 4. Prototipo del mensaje de confirmación al borrar servicio</w:t>
      </w:r>
    </w:p>
    <w:p w:rsidR="00000000" w:rsidDel="00000000" w:rsidP="00000000" w:rsidRDefault="00000000" w:rsidRPr="00000000" w14:paraId="00000076">
      <w:pPr>
        <w:keepNext w:val="1"/>
        <w:spacing w:after="240" w:before="240" w:lineRule="auto"/>
        <w:ind w:left="15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no funcionales</w:t>
      </w:r>
    </w:p>
    <w:tbl>
      <w:tblPr>
        <w:tblStyle w:val="Table2"/>
        <w:tblW w:w="8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6"/>
        <w:gridCol w:w="7622"/>
        <w:tblGridChange w:id="0">
          <w:tblGrid>
            <w:gridCol w:w="1116"/>
            <w:gridCol w:w="7622"/>
          </w:tblGrid>
        </w:tblGridChange>
      </w:tblGrid>
      <w:tr>
        <w:trPr>
          <w:trHeight w:val="627" w:hRule="atLeast"/>
        </w:trPr>
        <w:tc>
          <w:tcPr>
            <w:shd w:fill="548dd4" w:val="clear"/>
          </w:tcPr>
          <w:p w:rsidR="00000000" w:rsidDel="00000000" w:rsidP="00000000" w:rsidRDefault="00000000" w:rsidRPr="00000000" w14:paraId="00000077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Item</w:t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7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estar disponible en servicios 24 horas, los 365 días del año.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7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soportar una gran cantidad de usuarios conectados a la vez. La página web debe resistir hasta 100 usuarios conectados en simultáneo .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proteger la información del usuario y de sí misma. La página web dejará de operar si se detecta una amenaza al acceso de la privacidad del usuario.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7F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Mantenibilidad: El Sistema debe ser capaz de adaptarse a los mantenimientos de los desarrolladores. Deberá contará con toda la documentación necesaria para la atención de este tipo.</w:t>
            </w:r>
          </w:p>
        </w:tc>
      </w:tr>
      <w:tr>
        <w:trPr>
          <w:trHeight w:val="1249" w:hRule="atLeast"/>
        </w:trPr>
        <w:tc>
          <w:tcPr/>
          <w:p w:rsidR="00000000" w:rsidDel="00000000" w:rsidP="00000000" w:rsidRDefault="00000000" w:rsidRPr="00000000" w14:paraId="0000008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Disponibilidad de la aplicación sólo a través de exploradores de internet.</w:t>
            </w:r>
          </w:p>
          <w:p w:rsidR="00000000" w:rsidDel="00000000" w:rsidP="00000000" w:rsidRDefault="00000000" w:rsidRPr="00000000" w14:paraId="00000083">
            <w:pPr>
              <w:widowControl w:val="0"/>
              <w:ind w:right="204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Los exploradores disponibles para esta aplicación son: Google Chrome versión, Firefox, Internet Explorer 11 o superior, Safari y cualquier otro navegador que soporte HTML5. Debe ser responsiva.</w:t>
            </w:r>
          </w:p>
          <w:p w:rsidR="00000000" w:rsidDel="00000000" w:rsidP="00000000" w:rsidRDefault="00000000" w:rsidRPr="00000000" w14:paraId="00000084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1"/>
        <w:spacing w:after="360" w:before="360" w:lineRule="auto"/>
        <w:jc w:val="left"/>
        <w:rPr>
          <w:b w:val="1"/>
          <w:sz w:val="28"/>
          <w:szCs w:val="28"/>
        </w:rPr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spacing w:after="360" w:before="360" w:lineRule="auto"/>
        <w:jc w:val="left"/>
        <w:rPr>
          <w:b w:val="1"/>
          <w:sz w:val="28"/>
          <w:szCs w:val="28"/>
        </w:rPr>
      </w:pPr>
      <w:bookmarkStart w:colFirst="0" w:colLast="0" w:name="_heading=h.d6p04xhc9uq5" w:id="6"/>
      <w:bookmarkEnd w:id="6"/>
      <w:r w:rsidDel="00000000" w:rsidR="00000000" w:rsidRPr="00000000">
        <w:rPr>
          <w:rtl w:val="0"/>
        </w:rPr>
      </w:r>
    </w:p>
    <w:sectPr>
      <w:footerReference r:id="rId12" w:type="default"/>
      <w:footerReference r:id="rId13" w:type="even"/>
      <w:pgSz w:h="16838" w:w="11906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■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■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■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■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■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■.%4.%5.%6.%7.%8.%9"/>
      <w:lvlJc w:val="left"/>
      <w:pPr>
        <w:ind w:left="3018" w:hanging="180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2A94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 w:val="1"/>
    <w:rsid w:val="004B2EDF"/>
    <w:pPr>
      <w:ind w:left="720"/>
      <w:contextualSpacing w:val="1"/>
    </w:pPr>
  </w:style>
  <w:style w:type="paragraph" w:styleId="TableParagraph" w:customStyle="1">
    <w:name w:val="Table Paragraph"/>
    <w:basedOn w:val="Normal"/>
    <w:uiPriority w:val="1"/>
    <w:qFormat w:val="1"/>
    <w:rsid w:val="00B27EFA"/>
    <w:pPr>
      <w:widowControl w:val="0"/>
      <w:autoSpaceDE w:val="0"/>
      <w:autoSpaceDN w:val="0"/>
      <w:spacing w:after="0" w:before="0" w:line="240" w:lineRule="auto"/>
      <w:jc w:val="left"/>
    </w:pPr>
    <w:rPr>
      <w:rFonts w:ascii="Calibri" w:cs="Calibri" w:eastAsia="Calibri" w:hAnsi="Calibr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B27EFA"/>
    <w:pPr>
      <w:spacing w:after="0" w:before="0" w:line="240" w:lineRule="auto"/>
      <w:jc w:val="left"/>
    </w:pPr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A46D93"/>
    <w:pPr>
      <w:tabs>
        <w:tab w:val="center" w:pos="4252"/>
        <w:tab w:val="right" w:pos="8504"/>
      </w:tabs>
      <w:spacing w:after="0" w:before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46D93"/>
  </w:style>
  <w:style w:type="paragraph" w:styleId="Piedepgina">
    <w:name w:val="footer"/>
    <w:basedOn w:val="Normal"/>
    <w:link w:val="PiedepginaCar"/>
    <w:uiPriority w:val="99"/>
    <w:unhideWhenUsed w:val="1"/>
    <w:rsid w:val="00A46D93"/>
    <w:pPr>
      <w:tabs>
        <w:tab w:val="center" w:pos="4252"/>
        <w:tab w:val="right" w:pos="8504"/>
      </w:tabs>
      <w:spacing w:after="0" w:before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46D93"/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UOShmQJuVT8s0H2EpG93Hk60vQ==">AMUW2mUAdUzWSzr1duB0bFFy6Od0t6QA9lMNZsQEb513KD3uhQnSps9KyS3o5tWicCRQnu+iSfTxBIgMgL0cmyBbQPS+NQFZfeexYOSJi9fD2yqs3z4SVjUUP/ssEhvznbE9YTAScocAX0hC2DJel8hDt5GAyBregeo9bV+md/i+WNNVa1jxLwkT/GOoEclMpuU3N+EOvA5vyYSd6paMleIo/DlFasuIOw==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2020-12-07T00:02:00Z</dcterms:created>
  <dc:creator>juan jose tirado</dc:creator>
</cp:coreProperties>
</file>