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9A8B0" w14:textId="405C0C6D" w:rsidR="009F7761" w:rsidRPr="009F7761" w:rsidRDefault="009F7761" w:rsidP="009F7761">
      <w:pPr>
        <w:spacing w:before="100" w:beforeAutospacing="1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CO"/>
        </w:rPr>
        <w:t>El Estado en la Era de la Convergencia Tecnológica</w:t>
      </w:r>
    </w:p>
    <w:p w14:paraId="4F594034" w14:textId="77777777" w:rsidR="009F7761" w:rsidRPr="009F7761" w:rsidRDefault="009F7761" w:rsidP="009F7761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La gerencia pública en Colombia atraviesa un cambio de paradigma. Para el año 2025, la administración ya no se entiende como la simple digitalización de documentos, sino como una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"Operación Digital de Punta a Punta"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. Bajo los lineamientos de la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Estrategia Nacional Digital 2023-2026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, el gerente público debe transitar hacia un modelo donde la tecnología sea el motor de la equidad y el valor público. El reto actual no es solo técnico, sino ético y cultural, especialmente en la formación de líderes que comprendan el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Humanismo Digital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propuesto por la ESAP.</w:t>
      </w:r>
    </w:p>
    <w:p w14:paraId="732B6D6A" w14:textId="1FF7C5C8" w:rsidR="009F7761" w:rsidRPr="009F7761" w:rsidRDefault="009F7761" w:rsidP="009F7761">
      <w:pPr>
        <w:spacing w:before="100" w:beforeAutospacing="1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CO"/>
        </w:rPr>
        <w:t>Inteligencia Artificial (IA) y Gobernanza de Datos</w:t>
      </w:r>
    </w:p>
    <w:p w14:paraId="6411683A" w14:textId="77777777" w:rsidR="009F7761" w:rsidRPr="009F7761" w:rsidRDefault="009F7761" w:rsidP="009F7761">
      <w:pPr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La IA se ha consolidado como la frontera más dinámica en 2025. En Bogotá, la gerencia pública ha pasado de la experimentación a la regulación vinculante.</w:t>
      </w:r>
    </w:p>
    <w:p w14:paraId="0AD8687E" w14:textId="77777777" w:rsidR="009F7761" w:rsidRPr="009F7761" w:rsidRDefault="009F7761" w:rsidP="009F7761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Fundamento: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La IA permite la toma de decisiones basada en evidencia y el análisis predictivo. No se busca reemplazar al gerente, sino aumentar su capacidad analítica para gestionar recursos limitados.</w:t>
      </w:r>
    </w:p>
    <w:p w14:paraId="2B2D6112" w14:textId="77777777" w:rsidR="009F7761" w:rsidRPr="009F7761" w:rsidRDefault="009F7761" w:rsidP="009F7761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Ejemplo Real 2025 (Bogotá):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La aprobación del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Acuerdo 003 de 2025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en Bogotá definió los lineamientos obligatorios para el uso de IA en las entidades del Distrito. Un caso concreto es el uso de algoritmos por parte de la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Secretaría de Salud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para predecir picos respiratorios y optimizar la asignación de camas UCI antes de que ocurra la crisis.</w:t>
      </w:r>
    </w:p>
    <w:p w14:paraId="06F1CB54" w14:textId="77777777" w:rsidR="009F7761" w:rsidRPr="009F7761" w:rsidRDefault="009F7761" w:rsidP="009F7761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Gestión del Talento: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El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DASCD (Servicio Civil Distrital)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lidera en 2025 el programa "Talento Humano Unido por la Ciudadanía", capacitando a miles de servidores en el uso de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IA Generativa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para redactar actos administrativos y responder derechos de petición de forma más ágil, siempre bajo supervisión humana.</w:t>
      </w:r>
    </w:p>
    <w:p w14:paraId="22DE0831" w14:textId="651D97FF" w:rsidR="009F7761" w:rsidRPr="009F7761" w:rsidRDefault="009F7761" w:rsidP="009F7761">
      <w:pPr>
        <w:spacing w:before="100" w:beforeAutospacing="1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CO"/>
        </w:rPr>
      </w:pPr>
      <w:proofErr w:type="spellStart"/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CO"/>
        </w:rPr>
        <w:t>Blockchain</w:t>
      </w:r>
      <w:proofErr w:type="spellEnd"/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CO"/>
        </w:rPr>
        <w:t xml:space="preserve"> y la Transparencia en la Contratación</w:t>
      </w:r>
    </w:p>
    <w:p w14:paraId="3AED17C4" w14:textId="77777777" w:rsidR="009F7761" w:rsidRPr="009F7761" w:rsidRDefault="009F7761" w:rsidP="009F7761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Para 2025, la lucha contra la corrupción en la gerencia pública colombiana utiliza la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Tecnología de Registro Distribuido (</w:t>
      </w:r>
      <w:proofErr w:type="spellStart"/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Blockchain</w:t>
      </w:r>
      <w:proofErr w:type="spellEnd"/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)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como un pilar de confianza.</w:t>
      </w:r>
    </w:p>
    <w:p w14:paraId="34B59D7C" w14:textId="77777777" w:rsidR="009F7761" w:rsidRPr="009F7761" w:rsidRDefault="009F7761" w:rsidP="009F7761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Fundamento: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La inmutabilidad del </w:t>
      </w:r>
      <w:proofErr w:type="spellStart"/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Blockchain</w:t>
      </w:r>
      <w:proofErr w:type="spellEnd"/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asegura que una vez registrado un dato (como una oferta en una licitación), este no pueda ser alterado. Esto elimina la intermediación opaca y fortalece la auditoría ciudadana.</w:t>
      </w:r>
    </w:p>
    <w:p w14:paraId="36676B60" w14:textId="77777777" w:rsidR="009F7761" w:rsidRPr="009F7761" w:rsidRDefault="009F7761" w:rsidP="009F7761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Ejemplo Real 2025 (Colombia):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El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Ministerio TIC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, en coordinación con la Agencia Nacional de Contratación Pública (Colombia Compra Eficiente), ha masificado el uso de </w:t>
      </w:r>
      <w:r w:rsidRPr="009F7761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CO"/>
        </w:rPr>
        <w:t xml:space="preserve">Smart </w:t>
      </w:r>
      <w:proofErr w:type="spellStart"/>
      <w:r w:rsidRPr="009F7761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CO"/>
        </w:rPr>
        <w:t>Contracts</w:t>
      </w:r>
      <w:proofErr w:type="spellEnd"/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(contratos inteligentes). En 2025, la entrega de subsidios agrarios y kits escolares en zonas rurales se realiza mediante registros en cadena de bloques, permitiendo que cualquier ciudadano rastree el recurso desde el presupuesto nacional hasta el beneficiario final.</w:t>
      </w:r>
    </w:p>
    <w:p w14:paraId="388F06BC" w14:textId="36C04536" w:rsidR="009F7761" w:rsidRPr="009F7761" w:rsidRDefault="009F7761" w:rsidP="009F7761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</w:p>
    <w:p w14:paraId="6202315D" w14:textId="7EB55AE0" w:rsidR="009F7761" w:rsidRPr="009F7761" w:rsidRDefault="009F7761" w:rsidP="009F7761">
      <w:pPr>
        <w:spacing w:before="100" w:beforeAutospacing="1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CO"/>
        </w:rPr>
        <w:lastRenderedPageBreak/>
        <w:t>Interoperabilidad y el "Estado como Plataforma"</w:t>
      </w:r>
    </w:p>
    <w:p w14:paraId="092C992D" w14:textId="77777777" w:rsidR="009F7761" w:rsidRPr="009F7761" w:rsidRDefault="009F7761" w:rsidP="009F7761">
      <w:pPr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La frontera tecnológica también se define por la capacidad de las instituciones para hablar entre sí. En 2025, Colombia ha superado los silos de información.</w:t>
      </w:r>
    </w:p>
    <w:p w14:paraId="0EFD0567" w14:textId="77777777" w:rsidR="009F7761" w:rsidRPr="009F7761" w:rsidRDefault="009F7761" w:rsidP="009F7761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Fundamento: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El concepto de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Interoperabilidad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busca que el ciudadano sea el dueño de su información y no un mensajero del Estado. El gerente público moderno debe gestionar "ecosistemas de servicios" en lugar de trámites aislados.</w:t>
      </w:r>
    </w:p>
    <w:p w14:paraId="1BC500C9" w14:textId="77777777" w:rsidR="009F7761" w:rsidRPr="009F7761" w:rsidRDefault="009F7761" w:rsidP="009F7761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Ejemplo Real 2025 (Nacional/Bogotá):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La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Carpeta Ciudadana Digital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ha evolucionado. Hoy, un gerente público en una alcaldía local de Bogotá puede acceder (con autorización del ciudadano) a datos de la Registraduría, el SISBÉN y el ICFES de manera instantánea para otorgar una beca, eliminando la solicitud de certificados físicos. Esto es lo que se conoce como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"Interoperabilidad para el Bienestar"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, un proyecto clave del Distrito en el presente año.</w:t>
      </w:r>
    </w:p>
    <w:p w14:paraId="13B241DF" w14:textId="72A2C29E" w:rsidR="009F7761" w:rsidRPr="009F7761" w:rsidRDefault="009F7761" w:rsidP="009F7761">
      <w:pPr>
        <w:spacing w:before="100" w:beforeAutospacing="1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CO"/>
        </w:rPr>
        <w:t xml:space="preserve">Conectividad Territorial y </w:t>
      </w:r>
      <w:proofErr w:type="spellStart"/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CO"/>
        </w:rPr>
        <w:t>Ciberresiliencia</w:t>
      </w:r>
      <w:proofErr w:type="spellEnd"/>
    </w:p>
    <w:p w14:paraId="3895CA06" w14:textId="77777777" w:rsidR="009F7761" w:rsidRPr="009F7761" w:rsidRDefault="009F7761" w:rsidP="009F7761">
      <w:pPr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Finalmente, la gerencia pública de 2025 se enfrenta al reto de la seguridad y el cierre de brechas.</w:t>
      </w:r>
    </w:p>
    <w:p w14:paraId="657422FE" w14:textId="77777777" w:rsidR="009F7761" w:rsidRPr="009F7761" w:rsidRDefault="009F7761" w:rsidP="009F7761">
      <w:pPr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Ciberseguridad: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Con el aumento de activos digitales, las entidades han implementado los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SOC (Centros de Operaciones de Seguridad)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proactivos. En Bogotá, la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Consejería Distrital de TIC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monitoriza 24/7 las amenazas para proteger los datos de los contribuyentes.</w:t>
      </w:r>
    </w:p>
    <w:p w14:paraId="336F49CF" w14:textId="77777777" w:rsidR="009F7761" w:rsidRPr="009F7761" w:rsidRDefault="009F7761" w:rsidP="009F7761">
      <w:pPr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Conectividad Rural: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Para un estudiante de la ESAP, es vital notar que en 2025 Colombia alcanzó el hito de más de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19,000 escuelas rurales conectadas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. La gerencia pública territorial ahora debe gestionar servicios de "Gobierno en Línea" en municipios donde antes no llegaba la señal, usando tecnologías como el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Internet Satelital de baja órbita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.</w:t>
      </w:r>
    </w:p>
    <w:p w14:paraId="4F6F5461" w14:textId="06BC726C" w:rsidR="009F7761" w:rsidRPr="004B114C" w:rsidRDefault="009F7761" w:rsidP="009F7761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</w:p>
    <w:p w14:paraId="07373A19" w14:textId="709F19C0" w:rsidR="004604F9" w:rsidRPr="004B114C" w:rsidRDefault="004604F9" w:rsidP="004B114C">
      <w:pPr>
        <w:pStyle w:val="Ttulo1"/>
        <w:spacing w:after="120"/>
        <w:rPr>
          <w:rFonts w:ascii="Arial" w:hAnsi="Arial" w:cs="Arial"/>
          <w:color w:val="1F1F1F"/>
          <w:sz w:val="24"/>
          <w:szCs w:val="24"/>
          <w:highlight w:val="cyan"/>
        </w:rPr>
      </w:pPr>
      <w:r w:rsidRPr="004B114C">
        <w:rPr>
          <w:rFonts w:ascii="Arial" w:hAnsi="Arial" w:cs="Arial"/>
          <w:color w:val="1F1F1F"/>
          <w:sz w:val="24"/>
          <w:szCs w:val="24"/>
          <w:highlight w:val="cyan"/>
        </w:rPr>
        <w:t>Las Nuevas Fronteras de la Gerencia Pública: Un Enfoque Humanista y Tecnológico</w:t>
      </w:r>
    </w:p>
    <w:p w14:paraId="6CBC9677" w14:textId="77777777" w:rsidR="004604F9" w:rsidRPr="004B114C" w:rsidRDefault="004604F9" w:rsidP="004604F9">
      <w:pPr>
        <w:pStyle w:val="Ttulo2"/>
        <w:spacing w:after="120" w:afterAutospacing="0"/>
        <w:rPr>
          <w:rFonts w:ascii="Arial" w:hAnsi="Arial" w:cs="Arial"/>
          <w:color w:val="1F1F1F"/>
          <w:sz w:val="24"/>
          <w:szCs w:val="24"/>
        </w:rPr>
      </w:pPr>
      <w:r w:rsidRPr="004B114C">
        <w:rPr>
          <w:rFonts w:ascii="Arial" w:hAnsi="Arial" w:cs="Arial"/>
          <w:color w:val="1F1F1F"/>
          <w:sz w:val="24"/>
          <w:szCs w:val="24"/>
          <w:highlight w:val="cyan"/>
        </w:rPr>
        <w:t>1. La Gerencia de Excelencia: El Poder de la Conversación</w:t>
      </w:r>
    </w:p>
    <w:p w14:paraId="19E534B7" w14:textId="77777777" w:rsidR="004604F9" w:rsidRPr="004B114C" w:rsidRDefault="004604F9" w:rsidP="004604F9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color w:val="1F1F1F"/>
        </w:rPr>
        <w:t xml:space="preserve">La primera frontera rompe con el mito del gerente aislado en su despacho analizando informes. Investigaciones de </w:t>
      </w: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John Kotter (Harvard)</w:t>
      </w:r>
      <w:r w:rsidRPr="004B114C">
        <w:rPr>
          <w:rFonts w:ascii="Arial" w:hAnsi="Arial" w:cs="Arial"/>
          <w:color w:val="1F1F1F"/>
        </w:rPr>
        <w:t xml:space="preserve"> demuestran que los gerentes de alto desempeño en organizaciones globales dedican más del </w:t>
      </w: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90% de su tiempo a conversar</w:t>
      </w:r>
      <w:r w:rsidRPr="004B114C">
        <w:rPr>
          <w:rFonts w:ascii="Arial" w:hAnsi="Arial" w:cs="Arial"/>
          <w:color w:val="1F1F1F"/>
        </w:rPr>
        <w:t>.</w:t>
      </w:r>
    </w:p>
    <w:p w14:paraId="09241019" w14:textId="77777777" w:rsidR="004604F9" w:rsidRPr="004B114C" w:rsidRDefault="004604F9" w:rsidP="004604F9">
      <w:pPr>
        <w:pStyle w:val="NormalWeb"/>
        <w:spacing w:after="15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color w:val="1F1F1F"/>
        </w:rPr>
        <w:t>Esta "tecnología de la conversación" es eficiente porque permite al gerente:</w:t>
      </w:r>
    </w:p>
    <w:p w14:paraId="478A4ABA" w14:textId="77777777" w:rsidR="004604F9" w:rsidRPr="004B114C" w:rsidRDefault="004604F9" w:rsidP="004604F9">
      <w:pPr>
        <w:pStyle w:val="NormalWeb"/>
        <w:numPr>
          <w:ilvl w:val="0"/>
          <w:numId w:val="6"/>
        </w:numPr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Identificar la Agenda Real:</w:t>
      </w:r>
      <w:r w:rsidRPr="004B114C">
        <w:rPr>
          <w:rFonts w:ascii="Arial" w:hAnsi="Arial" w:cs="Arial"/>
          <w:color w:val="1F1F1F"/>
        </w:rPr>
        <w:t xml:space="preserve"> Los informes burocráticos suelen ocultar los problemas críticos; la charla directa con los funcionarios de todos los niveles revela las crisis antes de que sean inmanejables.</w:t>
      </w:r>
    </w:p>
    <w:p w14:paraId="1F618B87" w14:textId="77777777" w:rsidR="004604F9" w:rsidRPr="004B114C" w:rsidRDefault="004604F9" w:rsidP="004604F9">
      <w:pPr>
        <w:pStyle w:val="NormalWeb"/>
        <w:numPr>
          <w:ilvl w:val="0"/>
          <w:numId w:val="6"/>
        </w:numPr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Construir Capital Social:</w:t>
      </w:r>
      <w:r w:rsidRPr="004B114C">
        <w:rPr>
          <w:rFonts w:ascii="Arial" w:hAnsi="Arial" w:cs="Arial"/>
          <w:color w:val="1F1F1F"/>
        </w:rPr>
        <w:t xml:space="preserve"> La ejecución de políticas públicas no depende de decretos, sino de la red de contactos y la confianza que el gerente construye.</w:t>
      </w:r>
    </w:p>
    <w:p w14:paraId="7C32783B" w14:textId="77777777" w:rsidR="004604F9" w:rsidRPr="004B114C" w:rsidRDefault="004604F9" w:rsidP="004604F9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color w:val="1F1F1F"/>
        </w:rPr>
        <w:t xml:space="preserve">Para operativizar esto, </w:t>
      </w:r>
      <w:proofErr w:type="spellStart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Rossabeth</w:t>
      </w:r>
      <w:proofErr w:type="spellEnd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Moss </w:t>
      </w:r>
      <w:proofErr w:type="spellStart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Kantor</w:t>
      </w:r>
      <w:proofErr w:type="spellEnd"/>
      <w:r w:rsidRPr="004B114C">
        <w:rPr>
          <w:rFonts w:ascii="Arial" w:hAnsi="Arial" w:cs="Arial"/>
          <w:color w:val="1F1F1F"/>
        </w:rPr>
        <w:t xml:space="preserve"> propone las </w:t>
      </w: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"Cuatro Efes"</w:t>
      </w:r>
      <w:r w:rsidRPr="004B114C">
        <w:rPr>
          <w:rFonts w:ascii="Arial" w:hAnsi="Arial" w:cs="Arial"/>
          <w:color w:val="1F1F1F"/>
        </w:rPr>
        <w:t xml:space="preserve"> de la excelencia, que deben ser el norte en la administración pública colombiana:</w:t>
      </w:r>
    </w:p>
    <w:p w14:paraId="373B667F" w14:textId="77777777" w:rsidR="004604F9" w:rsidRPr="004B114C" w:rsidRDefault="004604F9" w:rsidP="004604F9">
      <w:pPr>
        <w:pStyle w:val="NormalWeb"/>
        <w:numPr>
          <w:ilvl w:val="0"/>
          <w:numId w:val="7"/>
        </w:numPr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Focus (Focalización):</w:t>
      </w:r>
      <w:r w:rsidRPr="004B114C">
        <w:rPr>
          <w:rFonts w:ascii="Arial" w:hAnsi="Arial" w:cs="Arial"/>
          <w:color w:val="1F1F1F"/>
        </w:rPr>
        <w:t xml:space="preserve"> Capacidad de priorizar lo estratégico sobre lo urgente.</w:t>
      </w:r>
    </w:p>
    <w:p w14:paraId="7CD7E1BC" w14:textId="77777777" w:rsidR="004604F9" w:rsidRPr="004B114C" w:rsidRDefault="004604F9" w:rsidP="004604F9">
      <w:pPr>
        <w:pStyle w:val="NormalWeb"/>
        <w:numPr>
          <w:ilvl w:val="0"/>
          <w:numId w:val="7"/>
        </w:numPr>
        <w:spacing w:after="0" w:afterAutospacing="0"/>
        <w:rPr>
          <w:rFonts w:ascii="Arial" w:hAnsi="Arial" w:cs="Arial"/>
          <w:color w:val="1F1F1F"/>
        </w:rPr>
      </w:pPr>
      <w:proofErr w:type="spellStart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Fast</w:t>
      </w:r>
      <w:proofErr w:type="spellEnd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(Velocidad):</w:t>
      </w:r>
      <w:r w:rsidRPr="004B114C">
        <w:rPr>
          <w:rFonts w:ascii="Arial" w:hAnsi="Arial" w:cs="Arial"/>
          <w:color w:val="1F1F1F"/>
        </w:rPr>
        <w:t xml:space="preserve"> Toma de decisiones ágil, eliminando la "gerencia tipo ascensor" donde cada trámite debe subir y bajar por toda la jerarquía.</w:t>
      </w:r>
    </w:p>
    <w:p w14:paraId="00FBF411" w14:textId="77777777" w:rsidR="004604F9" w:rsidRPr="004B114C" w:rsidRDefault="004604F9" w:rsidP="004604F9">
      <w:pPr>
        <w:pStyle w:val="NormalWeb"/>
        <w:numPr>
          <w:ilvl w:val="0"/>
          <w:numId w:val="7"/>
        </w:numPr>
        <w:spacing w:after="0" w:afterAutospacing="0"/>
        <w:rPr>
          <w:rFonts w:ascii="Arial" w:hAnsi="Arial" w:cs="Arial"/>
          <w:color w:val="1F1F1F"/>
        </w:rPr>
      </w:pPr>
      <w:proofErr w:type="spellStart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Flexibility</w:t>
      </w:r>
      <w:proofErr w:type="spellEnd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(Flexibilidad):</w:t>
      </w:r>
      <w:r w:rsidRPr="004B114C">
        <w:rPr>
          <w:rFonts w:ascii="Arial" w:hAnsi="Arial" w:cs="Arial"/>
          <w:color w:val="1F1F1F"/>
        </w:rPr>
        <w:t xml:space="preserve"> Adaptabilidad ante entornos de incertidumbre.</w:t>
      </w:r>
    </w:p>
    <w:p w14:paraId="0A4AB4F6" w14:textId="78B6978A" w:rsidR="004604F9" w:rsidRPr="004B114C" w:rsidRDefault="004604F9" w:rsidP="004B114C">
      <w:pPr>
        <w:pStyle w:val="NormalWeb"/>
        <w:numPr>
          <w:ilvl w:val="0"/>
          <w:numId w:val="7"/>
        </w:numPr>
        <w:spacing w:after="0" w:afterAutospacing="0"/>
        <w:rPr>
          <w:rFonts w:ascii="Arial" w:hAnsi="Arial" w:cs="Arial"/>
          <w:color w:val="1F1F1F"/>
        </w:rPr>
      </w:pPr>
      <w:proofErr w:type="spellStart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Friendly</w:t>
      </w:r>
      <w:proofErr w:type="spellEnd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(Amigabilidad):</w:t>
      </w:r>
      <w:r w:rsidRPr="004B114C">
        <w:rPr>
          <w:rFonts w:ascii="Arial" w:hAnsi="Arial" w:cs="Arial"/>
          <w:color w:val="1F1F1F"/>
        </w:rPr>
        <w:t xml:space="preserve"> Un enfoque basado en la negociación y el respeto, esencial para el clima laboral en las entidades del Estado.</w:t>
      </w:r>
    </w:p>
    <w:p w14:paraId="6F0D0327" w14:textId="77777777" w:rsidR="004604F9" w:rsidRPr="004B114C" w:rsidRDefault="004604F9" w:rsidP="004604F9">
      <w:pPr>
        <w:pStyle w:val="Ttulo2"/>
        <w:spacing w:after="120" w:afterAutospacing="0"/>
        <w:rPr>
          <w:rFonts w:ascii="Arial" w:hAnsi="Arial" w:cs="Arial"/>
          <w:color w:val="1F1F1F"/>
          <w:sz w:val="24"/>
          <w:szCs w:val="24"/>
        </w:rPr>
      </w:pPr>
      <w:r w:rsidRPr="004B114C">
        <w:rPr>
          <w:rFonts w:ascii="Arial" w:hAnsi="Arial" w:cs="Arial"/>
          <w:color w:val="1F1F1F"/>
          <w:sz w:val="24"/>
          <w:szCs w:val="24"/>
        </w:rPr>
        <w:t>2. Modelos Organizacionales: Del Autoritarismo a la Deliberación</w:t>
      </w:r>
    </w:p>
    <w:p w14:paraId="613EDB70" w14:textId="77777777" w:rsidR="004604F9" w:rsidRPr="004B114C" w:rsidRDefault="004604F9" w:rsidP="004604F9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color w:val="1F1F1F"/>
        </w:rPr>
        <w:t xml:space="preserve">La segunda frontera analiza cómo se estructura el poder. La </w:t>
      </w: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London </w:t>
      </w:r>
      <w:proofErr w:type="spellStart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School</w:t>
      </w:r>
      <w:proofErr w:type="spellEnd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of</w:t>
      </w:r>
      <w:proofErr w:type="spellEnd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Business</w:t>
      </w:r>
      <w:r w:rsidRPr="004B114C">
        <w:rPr>
          <w:rFonts w:ascii="Arial" w:hAnsi="Arial" w:cs="Arial"/>
          <w:color w:val="1F1F1F"/>
        </w:rPr>
        <w:t xml:space="preserve"> identifica que los modelos tradicionales (Zeus/Autocrático, Apolo/Competitivo o </w:t>
      </w:r>
      <w:proofErr w:type="spellStart"/>
      <w:r w:rsidRPr="004B114C">
        <w:rPr>
          <w:rFonts w:ascii="Arial" w:hAnsi="Arial" w:cs="Arial"/>
          <w:color w:val="1F1F1F"/>
        </w:rPr>
        <w:t>Dionisius</w:t>
      </w:r>
      <w:proofErr w:type="spellEnd"/>
      <w:r w:rsidRPr="004B114C">
        <w:rPr>
          <w:rFonts w:ascii="Arial" w:hAnsi="Arial" w:cs="Arial"/>
          <w:color w:val="1F1F1F"/>
        </w:rPr>
        <w:t>/Narcisista) generan altos niveles de conflicto interno y son ineficientes para gestionar la complejidad social.</w:t>
      </w:r>
    </w:p>
    <w:p w14:paraId="437543A9" w14:textId="77777777" w:rsidR="004604F9" w:rsidRPr="004B114C" w:rsidRDefault="004604F9" w:rsidP="004604F9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color w:val="1F1F1F"/>
        </w:rPr>
        <w:t xml:space="preserve">La frontera tecnológica actual es el </w:t>
      </w: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Modelo Atenas</w:t>
      </w:r>
      <w:r w:rsidRPr="004B114C">
        <w:rPr>
          <w:rFonts w:ascii="Arial" w:hAnsi="Arial" w:cs="Arial"/>
          <w:color w:val="1F1F1F"/>
        </w:rPr>
        <w:t>. Este modelo se caracteriza por:</w:t>
      </w:r>
    </w:p>
    <w:p w14:paraId="04B17A6C" w14:textId="77777777" w:rsidR="004604F9" w:rsidRPr="004B114C" w:rsidRDefault="004604F9" w:rsidP="004604F9">
      <w:pPr>
        <w:pStyle w:val="NormalWeb"/>
        <w:numPr>
          <w:ilvl w:val="0"/>
          <w:numId w:val="8"/>
        </w:numPr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Descentralización Real:</w:t>
      </w:r>
      <w:r w:rsidRPr="004B114C">
        <w:rPr>
          <w:rFonts w:ascii="Arial" w:hAnsi="Arial" w:cs="Arial"/>
          <w:color w:val="1F1F1F"/>
        </w:rPr>
        <w:t xml:space="preserve"> Grupos de trabajo con alta autonomía que fijan sus propias metas.</w:t>
      </w:r>
    </w:p>
    <w:p w14:paraId="7A917C4E" w14:textId="71C3E71D" w:rsidR="004604F9" w:rsidRPr="004B114C" w:rsidRDefault="004604F9" w:rsidP="004B114C">
      <w:pPr>
        <w:pStyle w:val="NormalWeb"/>
        <w:numPr>
          <w:ilvl w:val="0"/>
          <w:numId w:val="8"/>
        </w:numPr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Facilitación en lugar de Dirección:</w:t>
      </w:r>
      <w:r w:rsidRPr="004B114C">
        <w:rPr>
          <w:rFonts w:ascii="Arial" w:hAnsi="Arial" w:cs="Arial"/>
          <w:color w:val="1F1F1F"/>
        </w:rPr>
        <w:t xml:space="preserve"> Siguiendo a </w:t>
      </w: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Willis Harman</w:t>
      </w:r>
      <w:r w:rsidRPr="004B114C">
        <w:rPr>
          <w:rFonts w:ascii="Arial" w:hAnsi="Arial" w:cs="Arial"/>
          <w:color w:val="1F1F1F"/>
        </w:rPr>
        <w:t>, el gerente público ya no debe "dirigir recursos", sino crear las condiciones óptimas para que el talento humano responda de forma creativa a las demandas de la ciudadanía. En Colombia, esto se traduce en una gerencia territorial que empodera a las regiones en lugar de esperar órdenes centralizadas desde Bogotá.</w:t>
      </w:r>
    </w:p>
    <w:p w14:paraId="3A5AA636" w14:textId="77777777" w:rsidR="004604F9" w:rsidRPr="004B114C" w:rsidRDefault="004604F9" w:rsidP="004604F9">
      <w:pPr>
        <w:pStyle w:val="Ttulo2"/>
        <w:spacing w:after="120" w:afterAutospacing="0"/>
        <w:rPr>
          <w:rFonts w:ascii="Arial" w:hAnsi="Arial" w:cs="Arial"/>
          <w:color w:val="1F1F1F"/>
          <w:sz w:val="24"/>
          <w:szCs w:val="24"/>
        </w:rPr>
      </w:pPr>
      <w:r w:rsidRPr="004B114C">
        <w:rPr>
          <w:rFonts w:ascii="Arial" w:hAnsi="Arial" w:cs="Arial"/>
          <w:color w:val="1F1F1F"/>
          <w:sz w:val="24"/>
          <w:szCs w:val="24"/>
        </w:rPr>
        <w:t>3. Revalorización del Talento Humano y Comunicación Oral</w:t>
      </w:r>
    </w:p>
    <w:p w14:paraId="42A7326B" w14:textId="77777777" w:rsidR="004604F9" w:rsidRPr="004B114C" w:rsidRDefault="004604F9" w:rsidP="004604F9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color w:val="1F1F1F"/>
        </w:rPr>
        <w:t xml:space="preserve">La tercera frontera sitúa al ser humano en el centro de la estrategia. Según </w:t>
      </w: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Korn Ferry International</w:t>
      </w:r>
      <w:r w:rsidRPr="004B114C">
        <w:rPr>
          <w:rFonts w:ascii="Arial" w:hAnsi="Arial" w:cs="Arial"/>
          <w:color w:val="1F1F1F"/>
        </w:rPr>
        <w:t>, las competencias más críticas para el siglo XXI son la gestión de la complejidad y el liderazgo en recursos humanos.</w:t>
      </w:r>
    </w:p>
    <w:p w14:paraId="234613AE" w14:textId="77777777" w:rsidR="004604F9" w:rsidRPr="004B114C" w:rsidRDefault="004604F9" w:rsidP="004604F9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color w:val="1F1F1F"/>
        </w:rPr>
        <w:t xml:space="preserve">Un hallazgo fundamental de </w:t>
      </w: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Price Waterhouse</w:t>
      </w:r>
      <w:r w:rsidRPr="004B114C">
        <w:rPr>
          <w:rFonts w:ascii="Arial" w:hAnsi="Arial" w:cs="Arial"/>
          <w:color w:val="1F1F1F"/>
        </w:rPr>
        <w:t xml:space="preserve"> en miles de organizaciones es la sustitución del memorándum por la </w:t>
      </w: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comunicación oral</w:t>
      </w:r>
      <w:r w:rsidRPr="004B114C">
        <w:rPr>
          <w:rFonts w:ascii="Arial" w:hAnsi="Arial" w:cs="Arial"/>
          <w:color w:val="1F1F1F"/>
        </w:rPr>
        <w:t>. La palabra hablada permite:</w:t>
      </w:r>
    </w:p>
    <w:p w14:paraId="526DC7C3" w14:textId="77777777" w:rsidR="004604F9" w:rsidRPr="004B114C" w:rsidRDefault="004604F9" w:rsidP="004604F9">
      <w:pPr>
        <w:pStyle w:val="NormalWeb"/>
        <w:numPr>
          <w:ilvl w:val="0"/>
          <w:numId w:val="9"/>
        </w:numPr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Retroalimentación inmediata:</w:t>
      </w:r>
      <w:r w:rsidRPr="004B114C">
        <w:rPr>
          <w:rFonts w:ascii="Arial" w:hAnsi="Arial" w:cs="Arial"/>
          <w:color w:val="1F1F1F"/>
        </w:rPr>
        <w:t xml:space="preserve"> Reduce errores de interpretación comunes en la comunicación escrita.</w:t>
      </w:r>
    </w:p>
    <w:p w14:paraId="58955D9A" w14:textId="77777777" w:rsidR="004604F9" w:rsidRPr="004B114C" w:rsidRDefault="004604F9" w:rsidP="004604F9">
      <w:pPr>
        <w:pStyle w:val="NormalWeb"/>
        <w:numPr>
          <w:ilvl w:val="0"/>
          <w:numId w:val="9"/>
        </w:numPr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Creatividad colectiva:</w:t>
      </w:r>
      <w:r w:rsidRPr="004B114C">
        <w:rPr>
          <w:rFonts w:ascii="Arial" w:hAnsi="Arial" w:cs="Arial"/>
          <w:color w:val="1F1F1F"/>
        </w:rPr>
        <w:t xml:space="preserve"> La interacción personal dispara ideas que el aislamiento documental anula.</w:t>
      </w:r>
    </w:p>
    <w:p w14:paraId="05D0269B" w14:textId="055019D6" w:rsidR="004604F9" w:rsidRPr="004B114C" w:rsidRDefault="004604F9" w:rsidP="004B114C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color w:val="1F1F1F"/>
        </w:rPr>
        <w:t xml:space="preserve">Como señala Kliksberg citando la sabiduría de </w:t>
      </w: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Lao </w:t>
      </w:r>
      <w:proofErr w:type="spellStart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Tze</w:t>
      </w:r>
      <w:proofErr w:type="spellEnd"/>
      <w:r w:rsidRPr="004B114C">
        <w:rPr>
          <w:rFonts w:ascii="Arial" w:hAnsi="Arial" w:cs="Arial"/>
          <w:color w:val="1F1F1F"/>
        </w:rPr>
        <w:t>, la meta de la gerencia pública es la invisibilidad del líder para resaltar el éxito del colectivo: el gran dirigente es aquel que logra que el equipo sienta que los resultados fueron logrados por ellos mismos.</w:t>
      </w:r>
    </w:p>
    <w:p w14:paraId="1D65AFCC" w14:textId="77777777" w:rsidR="004604F9" w:rsidRPr="004B114C" w:rsidRDefault="004604F9" w:rsidP="004604F9">
      <w:pPr>
        <w:pStyle w:val="Ttulo2"/>
        <w:spacing w:after="120" w:afterAutospacing="0"/>
        <w:rPr>
          <w:rFonts w:ascii="Arial" w:hAnsi="Arial" w:cs="Arial"/>
          <w:color w:val="1F1F1F"/>
          <w:sz w:val="24"/>
          <w:szCs w:val="24"/>
        </w:rPr>
      </w:pPr>
      <w:r w:rsidRPr="004B114C">
        <w:rPr>
          <w:rFonts w:ascii="Arial" w:hAnsi="Arial" w:cs="Arial"/>
          <w:color w:val="1F1F1F"/>
          <w:sz w:val="24"/>
          <w:szCs w:val="24"/>
        </w:rPr>
        <w:t>4. La Revolución en la Formación: El Auge de las "</w:t>
      </w:r>
      <w:proofErr w:type="spellStart"/>
      <w:r w:rsidRPr="004B114C">
        <w:rPr>
          <w:rFonts w:ascii="Arial" w:hAnsi="Arial" w:cs="Arial"/>
          <w:color w:val="1F1F1F"/>
          <w:sz w:val="24"/>
          <w:szCs w:val="24"/>
        </w:rPr>
        <w:t>Soft</w:t>
      </w:r>
      <w:proofErr w:type="spellEnd"/>
      <w:r w:rsidRPr="004B114C">
        <w:rPr>
          <w:rFonts w:ascii="Arial" w:hAnsi="Arial" w:cs="Arial"/>
          <w:color w:val="1F1F1F"/>
          <w:sz w:val="24"/>
          <w:szCs w:val="24"/>
        </w:rPr>
        <w:t xml:space="preserve"> </w:t>
      </w:r>
      <w:proofErr w:type="spellStart"/>
      <w:r w:rsidRPr="004B114C">
        <w:rPr>
          <w:rFonts w:ascii="Arial" w:hAnsi="Arial" w:cs="Arial"/>
          <w:color w:val="1F1F1F"/>
          <w:sz w:val="24"/>
          <w:szCs w:val="24"/>
        </w:rPr>
        <w:t>Skills</w:t>
      </w:r>
      <w:proofErr w:type="spellEnd"/>
      <w:r w:rsidRPr="004B114C">
        <w:rPr>
          <w:rFonts w:ascii="Arial" w:hAnsi="Arial" w:cs="Arial"/>
          <w:color w:val="1F1F1F"/>
          <w:sz w:val="24"/>
          <w:szCs w:val="24"/>
        </w:rPr>
        <w:t>"</w:t>
      </w:r>
    </w:p>
    <w:p w14:paraId="6115F462" w14:textId="77777777" w:rsidR="004604F9" w:rsidRPr="004B114C" w:rsidRDefault="004604F9" w:rsidP="004604F9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color w:val="1F1F1F"/>
        </w:rPr>
        <w:t xml:space="preserve">La última frontera es educativa. El dato de la revista </w:t>
      </w:r>
      <w:proofErr w:type="spellStart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Fortune</w:t>
      </w:r>
      <w:proofErr w:type="spellEnd"/>
      <w:r w:rsidRPr="004B114C">
        <w:rPr>
          <w:rFonts w:ascii="Arial" w:hAnsi="Arial" w:cs="Arial"/>
          <w:color w:val="1F1F1F"/>
        </w:rPr>
        <w:t xml:space="preserve"> es contundente: el desempleo en graduados de élite no se debe a falta de técnica, sino a un déficit en </w:t>
      </w: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habilidades blandas (</w:t>
      </w:r>
      <w:proofErr w:type="spellStart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Soft</w:t>
      </w:r>
      <w:proofErr w:type="spellEnd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Skills</w:t>
      </w:r>
      <w:proofErr w:type="spellEnd"/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)</w:t>
      </w:r>
      <w:r w:rsidRPr="004B114C">
        <w:rPr>
          <w:rFonts w:ascii="Arial" w:hAnsi="Arial" w:cs="Arial"/>
          <w:color w:val="1F1F1F"/>
        </w:rPr>
        <w:t>.</w:t>
      </w:r>
    </w:p>
    <w:p w14:paraId="224D3430" w14:textId="77777777" w:rsidR="004604F9" w:rsidRPr="004B114C" w:rsidRDefault="004604F9" w:rsidP="004604F9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color w:val="1F1F1F"/>
        </w:rPr>
        <w:t xml:space="preserve">Escuelas como </w:t>
      </w: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Wharton</w:t>
      </w:r>
      <w:r w:rsidRPr="004B114C">
        <w:rPr>
          <w:rFonts w:ascii="Arial" w:hAnsi="Arial" w:cs="Arial"/>
          <w:color w:val="1F1F1F"/>
        </w:rPr>
        <w:t xml:space="preserve"> han reformado su currículo para priorizar:</w:t>
      </w:r>
    </w:p>
    <w:p w14:paraId="06D7CE16" w14:textId="77777777" w:rsidR="004604F9" w:rsidRPr="004B114C" w:rsidRDefault="004604F9" w:rsidP="004604F9">
      <w:pPr>
        <w:pStyle w:val="NormalWeb"/>
        <w:numPr>
          <w:ilvl w:val="0"/>
          <w:numId w:val="10"/>
        </w:numPr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Perspectiva Global e Interdisciplinaria:</w:t>
      </w:r>
      <w:r w:rsidRPr="004B114C">
        <w:rPr>
          <w:rFonts w:ascii="Arial" w:hAnsi="Arial" w:cs="Arial"/>
          <w:color w:val="1F1F1F"/>
        </w:rPr>
        <w:t xml:space="preserve"> Entender que un problema público (como la movilidad o la seguridad) no se resuelve desde una sola disciplina.</w:t>
      </w:r>
    </w:p>
    <w:p w14:paraId="2009E1C2" w14:textId="77777777" w:rsidR="004604F9" w:rsidRPr="004B114C" w:rsidRDefault="004604F9" w:rsidP="004604F9">
      <w:pPr>
        <w:pStyle w:val="NormalWeb"/>
        <w:numPr>
          <w:ilvl w:val="0"/>
          <w:numId w:val="10"/>
        </w:numPr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Empatía y Negociación:</w:t>
      </w:r>
      <w:r w:rsidRPr="004B114C">
        <w:rPr>
          <w:rFonts w:ascii="Arial" w:hAnsi="Arial" w:cs="Arial"/>
          <w:color w:val="1F1F1F"/>
        </w:rPr>
        <w:t xml:space="preserve"> Habilidades esenciales para el gerente público que debe conciliar intereses de diversos actores sociales.</w:t>
      </w:r>
    </w:p>
    <w:p w14:paraId="3626990F" w14:textId="77777777" w:rsidR="004604F9" w:rsidRPr="004B114C" w:rsidRDefault="004604F9" w:rsidP="004604F9">
      <w:pPr>
        <w:pStyle w:val="Ttulo3"/>
        <w:spacing w:after="12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color w:val="1F1F1F"/>
        </w:rPr>
        <w:t>Conclusión para la Gerencia Pública en Colombia (2025)</w:t>
      </w:r>
    </w:p>
    <w:p w14:paraId="01CA962A" w14:textId="77777777" w:rsidR="004604F9" w:rsidRPr="004B114C" w:rsidRDefault="004604F9" w:rsidP="004604F9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4B114C">
        <w:rPr>
          <w:rFonts w:ascii="Arial" w:hAnsi="Arial" w:cs="Arial"/>
          <w:color w:val="1F1F1F"/>
        </w:rPr>
        <w:t xml:space="preserve">En Bogotá y en todo el territorio nacional, la aplicación de estas fronteras implica transitar hacia una </w:t>
      </w:r>
      <w:r w:rsidRPr="004B114C">
        <w:rPr>
          <w:rFonts w:ascii="Arial" w:hAnsi="Arial" w:cs="Arial"/>
          <w:b/>
          <w:bCs/>
          <w:color w:val="1F1F1F"/>
          <w:bdr w:val="none" w:sz="0" w:space="0" w:color="auto" w:frame="1"/>
        </w:rPr>
        <w:t>Administración Pública Deliberativa</w:t>
      </w:r>
      <w:r w:rsidRPr="004B114C">
        <w:rPr>
          <w:rFonts w:ascii="Arial" w:hAnsi="Arial" w:cs="Arial"/>
          <w:color w:val="1F1F1F"/>
        </w:rPr>
        <w:t>. No se trata solo de comprar computadores, sino de adoptar el "Modelo Atenas", fomentar las "Cuatro Efes" y entender que la comunicación oral y la empatía son las herramientas más poderosas para construir un Estado eficiente. El gerente de la ESAP debe ser, ante todo, un facilitador de procesos humanos y un constructor de consensos.</w:t>
      </w:r>
    </w:p>
    <w:p w14:paraId="067E4585" w14:textId="77777777" w:rsidR="004604F9" w:rsidRPr="009F7761" w:rsidRDefault="004604F9" w:rsidP="009F7761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</w:p>
    <w:p w14:paraId="7D04E055" w14:textId="77777777" w:rsidR="009F7761" w:rsidRPr="009F7761" w:rsidRDefault="009F7761" w:rsidP="009F7761">
      <w:pPr>
        <w:spacing w:before="100" w:beforeAutospacing="1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CO"/>
        </w:rPr>
        <w:t>Conclusiones para la Gerencia Pública</w:t>
      </w:r>
    </w:p>
    <w:p w14:paraId="3F1F0794" w14:textId="77777777" w:rsidR="009F7761" w:rsidRPr="009F7761" w:rsidRDefault="009F7761" w:rsidP="009F7761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El éxito de estas fronteras tecnológicas no depende de los procesadores, sino de la </w:t>
      </w: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ética pública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. En la ESAP, la formación se centra en un gerente que sea capaz de:</w:t>
      </w:r>
    </w:p>
    <w:p w14:paraId="2472856B" w14:textId="77777777" w:rsidR="009F7761" w:rsidRPr="009F7761" w:rsidRDefault="009F7761" w:rsidP="009F7761">
      <w:pPr>
        <w:numPr>
          <w:ilvl w:val="0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Garantizar la transparencia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algorítmica.</w:t>
      </w:r>
    </w:p>
    <w:p w14:paraId="58752CBE" w14:textId="77777777" w:rsidR="009F7761" w:rsidRPr="009F7761" w:rsidRDefault="009F7761" w:rsidP="009F7761">
      <w:pPr>
        <w:numPr>
          <w:ilvl w:val="0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Liderar equipos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con habilidades digitales híbridas.</w:t>
      </w:r>
    </w:p>
    <w:p w14:paraId="1AA29217" w14:textId="6E96F264" w:rsidR="007F1CE3" w:rsidRPr="004B114C" w:rsidRDefault="009F7761" w:rsidP="009F7761">
      <w:pPr>
        <w:numPr>
          <w:ilvl w:val="0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9F77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Cerrar la brecha</w:t>
      </w:r>
      <w:r w:rsidRPr="009F776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entre la ciudad "inteligente" y la ruralidad olvidada.</w:t>
      </w:r>
    </w:p>
    <w:sectPr w:rsidR="007F1CE3" w:rsidRPr="004B11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26AD9"/>
    <w:multiLevelType w:val="multilevel"/>
    <w:tmpl w:val="9B4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E2F94"/>
    <w:multiLevelType w:val="multilevel"/>
    <w:tmpl w:val="F31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643BC"/>
    <w:multiLevelType w:val="multilevel"/>
    <w:tmpl w:val="A7F0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279D2"/>
    <w:multiLevelType w:val="multilevel"/>
    <w:tmpl w:val="6FD4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726A2"/>
    <w:multiLevelType w:val="multilevel"/>
    <w:tmpl w:val="7E74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BF2637"/>
    <w:multiLevelType w:val="multilevel"/>
    <w:tmpl w:val="72EE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F0D1A"/>
    <w:multiLevelType w:val="multilevel"/>
    <w:tmpl w:val="AFA6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E2BB6"/>
    <w:multiLevelType w:val="multilevel"/>
    <w:tmpl w:val="6052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60C90"/>
    <w:multiLevelType w:val="multilevel"/>
    <w:tmpl w:val="48EA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F5768"/>
    <w:multiLevelType w:val="multilevel"/>
    <w:tmpl w:val="FAD8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9"/>
  </w:num>
  <w:num w:numId="6">
    <w:abstractNumId w:val="2"/>
  </w:num>
  <w:num w:numId="7">
    <w:abstractNumId w:val="4"/>
  </w:num>
  <w:num w:numId="8">
    <w:abstractNumId w:val="8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761"/>
    <w:rsid w:val="004604F9"/>
    <w:rsid w:val="004B114C"/>
    <w:rsid w:val="007F1CE3"/>
    <w:rsid w:val="009F0E1C"/>
    <w:rsid w:val="009F7761"/>
    <w:rsid w:val="00B331D2"/>
    <w:rsid w:val="00DA228A"/>
    <w:rsid w:val="00DF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CDA83"/>
  <w15:chartTrackingRefBased/>
  <w15:docId w15:val="{7441061D-4CE9-4915-9B0E-FAA29FD33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4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F7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4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F776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unhideWhenUsed/>
    <w:rsid w:val="009F7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9F7761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460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4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5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1369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 Acevedo</dc:creator>
  <cp:keywords/>
  <dc:description/>
  <cp:lastModifiedBy>Dayan Acevedo</cp:lastModifiedBy>
  <cp:revision>1</cp:revision>
  <dcterms:created xsi:type="dcterms:W3CDTF">2026-03-14T16:29:00Z</dcterms:created>
  <dcterms:modified xsi:type="dcterms:W3CDTF">2026-03-14T17:06:00Z</dcterms:modified>
</cp:coreProperties>
</file>