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4E79"/>
          <w:sz w:val="24"/>
          <w:szCs w:val="24"/>
        </w:rPr>
        <w:t xml:space="preserve">Feria Regional de Educación, Arte, Ciencias y Tecnología</w:t>
      </w:r>
    </w:p>
    <w:p>
      <w:pPr>
        <w:spacing w:after="120" w:before="600"/>
        <w:jc w:val="center"/>
      </w:pPr>
      <w:r>
        <w:rPr>
          <w:rFonts w:ascii="Arial" w:cs="Arial" w:eastAsia="Arial" w:hAnsi="Arial"/>
          <w:b/>
          <w:bCs/>
          <w:color w:val="1F4E79"/>
          <w:sz w:val="48"/>
          <w:szCs w:val="48"/>
        </w:rPr>
        <w:t xml:space="preserve">PROYECTO STELLA ST</w:t>
      </w:r>
    </w:p>
    <w:p>
      <w:pPr>
        <w:spacing w:after="80" w:before="80" w:line="360" w:lineRule="auto"/>
        <w:jc w:val="center"/>
      </w:pPr>
      <w:r>
        <w:rPr>
          <w:rFonts w:ascii="Arial" w:cs="Arial" w:eastAsia="Arial" w:hAnsi="Arial"/>
          <w:i/>
          <w:iCs/>
          <w:sz w:val="22"/>
          <w:szCs w:val="22"/>
        </w:rPr>
        <w:t xml:space="preserve">“Más Allá del Cielo Comienza Nuestra Misión”</w:t>
      </w:r>
    </w:p>
    <w:p>
      <w:pPr>
        <w:spacing w:after="80" w:before="600"/>
        <w:jc w:val="center"/>
      </w:pPr>
      <w:r>
        <w:rPr>
          <w:rFonts w:ascii="Arial" w:cs="Arial" w:eastAsia="Arial" w:hAnsi="Arial"/>
          <w:b/>
          <w:bCs/>
          <w:sz w:val="22"/>
          <w:szCs w:val="22"/>
        </w:rPr>
        <w:t xml:space="preserve">Estudiantes Expositores</w:t>
      </w:r>
    </w:p>
    <w:p>
      <w:pPr>
        <w:spacing w:after="40" w:before="40" w:line="360" w:lineRule="auto"/>
        <w:jc w:val="center"/>
      </w:pPr>
      <w:r>
        <w:rPr>
          <w:rFonts w:ascii="Arial" w:cs="Arial" w:eastAsia="Arial" w:hAnsi="Arial"/>
          <w:sz w:val="22"/>
          <w:szCs w:val="22"/>
        </w:rPr>
        <w:t xml:space="preserve">Arzubi, Thiago  |  Curso: 7°2°  |  DNI: 47.685.291</w:t>
      </w:r>
    </w:p>
    <w:p>
      <w:pPr>
        <w:spacing w:after="40" w:before="40" w:line="360" w:lineRule="auto"/>
        <w:jc w:val="center"/>
      </w:pPr>
      <w:r>
        <w:rPr>
          <w:rFonts w:ascii="Arial" w:cs="Arial" w:eastAsia="Arial" w:hAnsi="Arial"/>
          <w:sz w:val="22"/>
          <w:szCs w:val="22"/>
        </w:rPr>
        <w:t xml:space="preserve">Koziel, Juan Pablo  |  Curso: 7°2°  |  DNI: 48.429.160</w:t>
      </w:r>
    </w:p>
    <w:p>
      <w:pPr>
        <w:spacing w:after="40" w:before="40" w:line="360" w:lineRule="auto"/>
        <w:jc w:val="center"/>
      </w:pPr>
      <w:r>
        <w:rPr>
          <w:rFonts w:ascii="Arial" w:cs="Arial" w:eastAsia="Arial" w:hAnsi="Arial"/>
          <w:sz w:val="22"/>
          <w:szCs w:val="22"/>
        </w:rPr>
        <w:t xml:space="preserve">Terenzano, Facundo Nahuel  |  Curso: 7°2°  |  DNI: 48.048.452</w:t>
      </w:r>
    </w:p>
    <w:p>
      <w:pPr>
        <w:spacing w:after="40" w:before="40" w:line="360" w:lineRule="auto"/>
        <w:jc w:val="center"/>
      </w:pPr>
      <w:r>
        <w:rPr>
          <w:rFonts w:ascii="Arial" w:cs="Arial" w:eastAsia="Arial" w:hAnsi="Arial"/>
          <w:sz w:val="22"/>
          <w:szCs w:val="22"/>
        </w:rPr>
        <w:t xml:space="preserve">Ugalde Díaz, Agustín  |  Curso: 7°2°  |  DNI: 47.453.668</w:t>
      </w:r>
    </w:p>
    <w:p>
      <w:pPr>
        <w:spacing w:after="80" w:before="360"/>
        <w:jc w:val="center"/>
      </w:pPr>
      <w:r>
        <w:rPr>
          <w:rFonts w:ascii="Arial" w:cs="Arial" w:eastAsia="Arial" w:hAnsi="Arial"/>
          <w:b/>
          <w:bCs/>
          <w:sz w:val="22"/>
          <w:szCs w:val="22"/>
        </w:rPr>
        <w:t xml:space="preserve">Nivel — Modalidad — Ámbito — Área</w:t>
      </w:r>
    </w:p>
    <w:p>
      <w:pPr>
        <w:spacing w:after="80" w:before="80" w:line="360" w:lineRule="auto"/>
        <w:jc w:val="center"/>
      </w:pPr>
      <w:r>
        <w:rPr>
          <w:rFonts w:ascii="Arial" w:cs="Arial" w:eastAsia="Arial" w:hAnsi="Arial"/>
          <w:sz w:val="22"/>
          <w:szCs w:val="22"/>
        </w:rPr>
        <w:t xml:space="preserve">Secundario  |  Técnico  |  Urbano  |  Tecnología</w:t>
      </w:r>
    </w:p>
    <w:p>
      <w:pPr>
        <w:spacing w:after="80" w:before="80" w:line="360" w:lineRule="auto"/>
        <w:jc w:val="center"/>
      </w:pPr>
      <w:r>
        <w:rPr>
          <w:rFonts w:ascii="Arial" w:cs="Arial" w:eastAsia="Arial" w:hAnsi="Arial"/>
          <w:sz w:val="22"/>
          <w:szCs w:val="22"/>
        </w:rPr>
        <w:t xml:space="preserve">Tecnicatura en Informática Profesional y Personal</w:t>
      </w:r>
    </w:p>
    <w:p>
      <w:pPr>
        <w:spacing w:after="80" w:before="360"/>
        <w:jc w:val="center"/>
      </w:pPr>
      <w:r>
        <w:rPr>
          <w:rFonts w:ascii="Arial" w:cs="Arial" w:eastAsia="Arial" w:hAnsi="Arial"/>
          <w:b/>
          <w:bCs/>
          <w:sz w:val="22"/>
          <w:szCs w:val="22"/>
        </w:rPr>
        <w:t xml:space="preserve">Asesor Docente</w:t>
      </w:r>
    </w:p>
    <w:p>
      <w:pPr>
        <w:spacing w:after="80" w:before="80" w:line="360" w:lineRule="auto"/>
        <w:jc w:val="center"/>
      </w:pPr>
      <w:r>
        <w:rPr>
          <w:rFonts w:ascii="Arial" w:cs="Arial" w:eastAsia="Arial" w:hAnsi="Arial"/>
          <w:sz w:val="22"/>
          <w:szCs w:val="22"/>
        </w:rPr>
        <w:t xml:space="preserve">Wagner, Alejandro  |  DNI: 32.643.583</w:t>
      </w:r>
    </w:p>
    <w:p>
      <w:pPr>
        <w:spacing w:after="80" w:before="360"/>
        <w:jc w:val="center"/>
      </w:pPr>
      <w:r>
        <w:rPr>
          <w:rFonts w:ascii="Arial" w:cs="Arial" w:eastAsia="Arial" w:hAnsi="Arial"/>
          <w:b/>
          <w:bCs/>
          <w:sz w:val="22"/>
          <w:szCs w:val="22"/>
        </w:rPr>
        <w:t xml:space="preserve">Institución Educativa</w:t>
      </w:r>
    </w:p>
    <w:p>
      <w:pPr>
        <w:spacing w:after="80" w:before="80" w:line="360" w:lineRule="auto"/>
        <w:jc w:val="center"/>
      </w:pPr>
      <w:r>
        <w:rPr>
          <w:rFonts w:ascii="Arial" w:cs="Arial" w:eastAsia="Arial" w:hAnsi="Arial"/>
          <w:sz w:val="22"/>
          <w:szCs w:val="22"/>
        </w:rPr>
        <w:t xml:space="preserve">EEST N°2 “Luciano Fortabat”  —  Olavarría, Buenos Aires</w:t>
      </w:r>
    </w:p>
    <w:p>
      <w:pPr>
        <w:spacing w:after="80" w:before="80" w:line="360" w:lineRule="auto"/>
        <w:jc w:val="center"/>
      </w:pPr>
      <w:r>
        <w:rPr>
          <w:rFonts w:ascii="Arial" w:cs="Arial" w:eastAsia="Arial" w:hAnsi="Arial"/>
          <w:sz w:val="22"/>
          <w:szCs w:val="22"/>
        </w:rPr>
        <w:t xml:space="preserve">CUE: 60337300</w:t>
      </w:r>
    </w:p>
    <w:p>
      <w:pPr>
        <w:spacing w:after="80" w:before="360"/>
        <w:jc w:val="center"/>
      </w:pPr>
      <w:r>
        <w:rPr>
          <w:rFonts w:ascii="Arial" w:cs="Arial" w:eastAsia="Arial" w:hAnsi="Arial"/>
          <w:b/>
          <w:bCs/>
          <w:sz w:val="22"/>
          <w:szCs w:val="22"/>
        </w:rPr>
        <w:t xml:space="preserve">Año 2026</w:t>
      </w:r>
    </w:p>
    <w:p>
      <w:pPr>
        <w:spacing w:after="80" w:before="200"/>
        <w:jc w:val="center"/>
      </w:pPr>
      <w:r>
        <w:rPr>
          <w:rFonts w:ascii="Arial" w:cs="Arial" w:eastAsia="Arial" w:hAnsi="Arial"/>
          <w:i/>
          <w:iCs/>
          <w:color w:val="C00000"/>
          <w:sz w:val="22"/>
          <w:szCs w:val="22"/>
        </w:rPr>
        <w:t xml:space="preserve">Fecha de inscripción: [COMPLETAR]</w:t>
      </w:r>
    </w:p>
    <w:p>
      <w:r>
        <w:br w:type="page"/>
      </w:r>
    </w:p>
    <w:p>
      <w:pPr>
        <w:pStyle w:val="Heading1"/>
        <w:spacing w:after="160" w:before="360"/>
      </w:pPr>
      <w:r>
        <w:rPr>
          <w:rFonts w:ascii="Arial" w:cs="Arial" w:eastAsia="Arial" w:hAnsi="Arial"/>
          <w:b/>
          <w:bCs/>
          <w:sz w:val="28"/>
          <w:szCs w:val="28"/>
        </w:rPr>
        <w:t xml:space="preserve">Índice</w:t>
      </w:r>
    </w:p>
    <w:p>
      <w:pPr>
        <w:tabs>
          <w:tab w:val="right" w:pos="9026"/>
        </w:tabs>
        <w:spacing w:after="80" w:before="80" w:line="360" w:lineRule="auto"/>
      </w:pPr>
      <w:r>
        <w:rPr>
          <w:rFonts w:ascii="Arial" w:cs="Arial" w:eastAsia="Arial" w:hAnsi="Arial"/>
          <w:sz w:val="22"/>
          <w:szCs w:val="22"/>
        </w:rPr>
        <w:t xml:space="preserve">1.  Resumen</w:t>
      </w:r>
      <w:r>
        <w:rPr>
          <w:sz w:val="22"/>
          <w:szCs w:val="22"/>
        </w:rPr>
        <w:t xml:space="preserve">	</w:t>
      </w:r>
      <w:r>
        <w:rPr>
          <w:rFonts w:ascii="Arial" w:cs="Arial" w:eastAsia="Arial" w:hAnsi="Arial"/>
          <w:color w:val="888888"/>
          <w:sz w:val="22"/>
          <w:szCs w:val="22"/>
        </w:rPr>
        <w:t xml:space="preserve">···</w:t>
      </w:r>
    </w:p>
    <w:p>
      <w:pPr>
        <w:tabs>
          <w:tab w:val="right" w:pos="9026"/>
        </w:tabs>
        <w:spacing w:after="80" w:before="80" w:line="360" w:lineRule="auto"/>
      </w:pPr>
      <w:r>
        <w:rPr>
          <w:rFonts w:ascii="Arial" w:cs="Arial" w:eastAsia="Arial" w:hAnsi="Arial"/>
          <w:sz w:val="22"/>
          <w:szCs w:val="22"/>
        </w:rPr>
        <w:t xml:space="preserve">2.  Introducción</w:t>
      </w:r>
      <w:r>
        <w:rPr>
          <w:sz w:val="22"/>
          <w:szCs w:val="22"/>
        </w:rPr>
        <w:t xml:space="preserve">	</w:t>
      </w:r>
      <w:r>
        <w:rPr>
          <w:rFonts w:ascii="Arial" w:cs="Arial" w:eastAsia="Arial" w:hAnsi="Arial"/>
          <w:color w:val="888888"/>
          <w:sz w:val="22"/>
          <w:szCs w:val="22"/>
        </w:rPr>
        <w:t xml:space="preserve">···</w:t>
      </w:r>
    </w:p>
    <w:p>
      <w:pPr>
        <w:tabs>
          <w:tab w:val="right" w:pos="9026"/>
        </w:tabs>
        <w:spacing w:after="80" w:before="80" w:line="360" w:lineRule="auto"/>
      </w:pPr>
      <w:r>
        <w:rPr>
          <w:rFonts w:ascii="Arial" w:cs="Arial" w:eastAsia="Arial" w:hAnsi="Arial"/>
          <w:sz w:val="22"/>
          <w:szCs w:val="22"/>
        </w:rPr>
        <w:t xml:space="preserve">3.  Marco Teórico</w:t>
      </w:r>
      <w:r>
        <w:rPr>
          <w:sz w:val="22"/>
          <w:szCs w:val="22"/>
        </w:rPr>
        <w:t xml:space="preserve">	</w:t>
      </w:r>
      <w:r>
        <w:rPr>
          <w:rFonts w:ascii="Arial" w:cs="Arial" w:eastAsia="Arial" w:hAnsi="Arial"/>
          <w:color w:val="888888"/>
          <w:sz w:val="22"/>
          <w:szCs w:val="22"/>
        </w:rPr>
        <w:t xml:space="preserve">···</w:t>
      </w:r>
    </w:p>
    <w:p>
      <w:pPr>
        <w:tabs>
          <w:tab w:val="right" w:pos="9026"/>
        </w:tabs>
        <w:spacing w:after="80" w:before="80" w:line="360" w:lineRule="auto"/>
      </w:pPr>
      <w:r>
        <w:rPr>
          <w:rFonts w:ascii="Arial" w:cs="Arial" w:eastAsia="Arial" w:hAnsi="Arial"/>
          <w:sz w:val="22"/>
          <w:szCs w:val="22"/>
        </w:rPr>
        <w:t xml:space="preserve">4.  Materiales y Métodos</w:t>
      </w:r>
      <w:r>
        <w:rPr>
          <w:sz w:val="22"/>
          <w:szCs w:val="22"/>
        </w:rPr>
        <w:t xml:space="preserve">	</w:t>
      </w:r>
      <w:r>
        <w:rPr>
          <w:rFonts w:ascii="Arial" w:cs="Arial" w:eastAsia="Arial" w:hAnsi="Arial"/>
          <w:color w:val="888888"/>
          <w:sz w:val="22"/>
          <w:szCs w:val="22"/>
        </w:rPr>
        <w:t xml:space="preserve">···</w:t>
      </w:r>
    </w:p>
    <w:p>
      <w:pPr>
        <w:tabs>
          <w:tab w:val="right" w:pos="9026"/>
        </w:tabs>
        <w:spacing w:after="80" w:before="80" w:line="360" w:lineRule="auto"/>
      </w:pPr>
      <w:r>
        <w:rPr>
          <w:rFonts w:ascii="Arial" w:cs="Arial" w:eastAsia="Arial" w:hAnsi="Arial"/>
          <w:sz w:val="22"/>
          <w:szCs w:val="22"/>
        </w:rPr>
        <w:t xml:space="preserve">5.  Estado de Avance del Proyecto</w:t>
      </w:r>
      <w:r>
        <w:rPr>
          <w:sz w:val="22"/>
          <w:szCs w:val="22"/>
        </w:rPr>
        <w:t xml:space="preserve">	</w:t>
      </w:r>
      <w:r>
        <w:rPr>
          <w:rFonts w:ascii="Arial" w:cs="Arial" w:eastAsia="Arial" w:hAnsi="Arial"/>
          <w:color w:val="888888"/>
          <w:sz w:val="22"/>
          <w:szCs w:val="22"/>
        </w:rPr>
        <w:t xml:space="preserve">···</w:t>
      </w:r>
    </w:p>
    <w:p>
      <w:pPr>
        <w:tabs>
          <w:tab w:val="right" w:pos="9026"/>
        </w:tabs>
        <w:spacing w:after="80" w:before="80" w:line="360" w:lineRule="auto"/>
      </w:pPr>
      <w:r>
        <w:rPr>
          <w:rFonts w:ascii="Arial" w:cs="Arial" w:eastAsia="Arial" w:hAnsi="Arial"/>
          <w:sz w:val="22"/>
          <w:szCs w:val="22"/>
        </w:rPr>
        <w:t xml:space="preserve">6.  Producto Tecnológico</w:t>
      </w:r>
      <w:r>
        <w:rPr>
          <w:sz w:val="22"/>
          <w:szCs w:val="22"/>
        </w:rPr>
        <w:t xml:space="preserve">	</w:t>
      </w:r>
      <w:r>
        <w:rPr>
          <w:rFonts w:ascii="Arial" w:cs="Arial" w:eastAsia="Arial" w:hAnsi="Arial"/>
          <w:color w:val="888888"/>
          <w:sz w:val="22"/>
          <w:szCs w:val="22"/>
        </w:rPr>
        <w:t xml:space="preserve">···</w:t>
      </w:r>
    </w:p>
    <w:p>
      <w:pPr>
        <w:tabs>
          <w:tab w:val="right" w:pos="9026"/>
        </w:tabs>
        <w:spacing w:after="80" w:before="80" w:line="360" w:lineRule="auto"/>
      </w:pPr>
      <w:r>
        <w:rPr>
          <w:rFonts w:ascii="Arial" w:cs="Arial" w:eastAsia="Arial" w:hAnsi="Arial"/>
          <w:sz w:val="22"/>
          <w:szCs w:val="22"/>
        </w:rPr>
        <w:t xml:space="preserve">7.  Discusión de los Resultados</w:t>
      </w:r>
      <w:r>
        <w:rPr>
          <w:sz w:val="22"/>
          <w:szCs w:val="22"/>
        </w:rPr>
        <w:t xml:space="preserve">	</w:t>
      </w:r>
      <w:r>
        <w:rPr>
          <w:rFonts w:ascii="Arial" w:cs="Arial" w:eastAsia="Arial" w:hAnsi="Arial"/>
          <w:color w:val="888888"/>
          <w:sz w:val="22"/>
          <w:szCs w:val="22"/>
        </w:rPr>
        <w:t xml:space="preserve">···</w:t>
      </w:r>
    </w:p>
    <w:p>
      <w:pPr>
        <w:tabs>
          <w:tab w:val="right" w:pos="9026"/>
        </w:tabs>
        <w:spacing w:after="80" w:before="80" w:line="360" w:lineRule="auto"/>
      </w:pPr>
      <w:r>
        <w:rPr>
          <w:rFonts w:ascii="Arial" w:cs="Arial" w:eastAsia="Arial" w:hAnsi="Arial"/>
          <w:sz w:val="22"/>
          <w:szCs w:val="22"/>
        </w:rPr>
        <w:t xml:space="preserve">8.  Conclusiones</w:t>
      </w:r>
      <w:r>
        <w:rPr>
          <w:sz w:val="22"/>
          <w:szCs w:val="22"/>
        </w:rPr>
        <w:t xml:space="preserve">	</w:t>
      </w:r>
      <w:r>
        <w:rPr>
          <w:rFonts w:ascii="Arial" w:cs="Arial" w:eastAsia="Arial" w:hAnsi="Arial"/>
          <w:color w:val="888888"/>
          <w:sz w:val="22"/>
          <w:szCs w:val="22"/>
        </w:rPr>
        <w:t xml:space="preserve">···</w:t>
      </w:r>
    </w:p>
    <w:p>
      <w:pPr>
        <w:tabs>
          <w:tab w:val="right" w:pos="9026"/>
        </w:tabs>
        <w:spacing w:after="80" w:before="80" w:line="360" w:lineRule="auto"/>
      </w:pPr>
      <w:r>
        <w:rPr>
          <w:rFonts w:ascii="Arial" w:cs="Arial" w:eastAsia="Arial" w:hAnsi="Arial"/>
          <w:sz w:val="22"/>
          <w:szCs w:val="22"/>
        </w:rPr>
        <w:t xml:space="preserve">9.  Bibliografía</w:t>
      </w:r>
      <w:r>
        <w:rPr>
          <w:sz w:val="22"/>
          <w:szCs w:val="22"/>
        </w:rPr>
        <w:t xml:space="preserve">	</w:t>
      </w:r>
      <w:r>
        <w:rPr>
          <w:rFonts w:ascii="Arial" w:cs="Arial" w:eastAsia="Arial" w:hAnsi="Arial"/>
          <w:color w:val="888888"/>
          <w:sz w:val="22"/>
          <w:szCs w:val="22"/>
        </w:rPr>
        <w:t xml:space="preserve">···</w:t>
      </w:r>
    </w:p>
    <w:p>
      <w:pPr>
        <w:tabs>
          <w:tab w:val="right" w:pos="9026"/>
        </w:tabs>
        <w:spacing w:after="80" w:before="80" w:line="360" w:lineRule="auto"/>
      </w:pPr>
      <w:r>
        <w:rPr>
          <w:rFonts w:ascii="Arial" w:cs="Arial" w:eastAsia="Arial" w:hAnsi="Arial"/>
          <w:sz w:val="22"/>
          <w:szCs w:val="22"/>
        </w:rPr>
        <w:t xml:space="preserve">10.  Agradecimientos</w:t>
      </w:r>
      <w:r>
        <w:rPr>
          <w:sz w:val="22"/>
          <w:szCs w:val="22"/>
        </w:rPr>
        <w:t xml:space="preserve">	</w:t>
      </w:r>
      <w:r>
        <w:rPr>
          <w:rFonts w:ascii="Arial" w:cs="Arial" w:eastAsia="Arial" w:hAnsi="Arial"/>
          <w:color w:val="888888"/>
          <w:sz w:val="22"/>
          <w:szCs w:val="22"/>
        </w:rPr>
        <w:t xml:space="preserve">···</w:t>
      </w:r>
    </w:p>
    <w:p>
      <w:r>
        <w:br w:type="page"/>
      </w:r>
    </w:p>
    <w:p>
      <w:pPr>
        <w:pStyle w:val="Heading1"/>
        <w:spacing w:after="160" w:before="360"/>
      </w:pPr>
      <w:r>
        <w:rPr>
          <w:rFonts w:ascii="Arial" w:cs="Arial" w:eastAsia="Arial" w:hAnsi="Arial"/>
          <w:b/>
          <w:bCs/>
          <w:sz w:val="28"/>
          <w:szCs w:val="28"/>
        </w:rPr>
        <w:t xml:space="preserve">1. Resumen</w:t>
      </w:r>
    </w:p>
    <w:p>
      <w:pPr>
        <w:spacing w:after="80" w:before="80" w:line="360" w:lineRule="auto"/>
        <w:jc w:val="both"/>
      </w:pPr>
      <w:r>
        <w:rPr>
          <w:rFonts w:ascii="Arial" w:cs="Arial" w:eastAsia="Arial" w:hAnsi="Arial"/>
          <w:sz w:val="22"/>
          <w:szCs w:val="22"/>
        </w:rPr>
        <w:t xml:space="preserve">El Proyecto Stella ST consiste en el diseño, desarrollo y lanzamiento de un globo estratosférico instrumentado, capaz de ascender hasta alturas de entre 25 y 35 km sobre el nivel del mar. El sistema registra video en alta definición, recolecta datos ambientales durante el vuelo y transmite imágenes en tiempo real a través de tecnología FPV a 5,8 GHz.</w:t>
      </w:r>
    </w:p>
    <w:p>
      <w:pPr>
        <w:spacing w:after="80" w:before="80" w:line="360" w:lineRule="auto"/>
        <w:jc w:val="both"/>
      </w:pPr>
      <w:r>
        <w:rPr>
          <w:rFonts w:ascii="Arial" w:cs="Arial" w:eastAsia="Arial" w:hAnsi="Arial"/>
          <w:sz w:val="22"/>
          <w:szCs w:val="22"/>
        </w:rPr>
        <w:t xml:space="preserve">El proyecto es desarrollado por estudiantes de la EEST N°2 “Luciano Fortabat” de Olavarría, integrando conocimientos de electrónica, programación, física, telecomunicaciones y diseño mecánico. El sistema embarcado se basa en una Raspberry Pi 4 que gestiona sensores ambientales (GY-63 MS5611 y DS18B20), dos cámaras (grabación y transmisión FPV), un módulo GPS NEO-M8N, módulos LoRa LA66 para telemetría y almacenamiento local en tarjeta SanDisk High Endurance 128 GB.</w:t>
      </w:r>
    </w:p>
    <w:p>
      <w:pPr>
        <w:spacing w:after="80" w:before="80" w:line="360" w:lineRule="auto"/>
        <w:jc w:val="both"/>
      </w:pPr>
      <w:r>
        <w:rPr>
          <w:rFonts w:ascii="Arial" w:cs="Arial" w:eastAsia="Arial" w:hAnsi="Arial"/>
          <w:sz w:val="22"/>
          <w:szCs w:val="22"/>
        </w:rPr>
        <w:t xml:space="preserve">La metodología de trabajo se organiza en cuatro grupos funcionales: Vuelo, Diseño, Comunicaciones y Redes Sociales. El equipo de Vuelo ha realizado los cálculos operativos del vuelo, estimando una duración total de 3 horas 26 minutos y un desplazamiento horizontal de aproximadamente 151,6 km. El equipo de Diseño imprimió un primer prototipo de la cápsula en filamento PETG y trabaja en una segunda versión optimizada. El equipo de Vuelo inició gestiones formales ante el aeródromo local y la ANAC, encuadradas en la RAAC Parte 32.</w:t>
      </w:r>
    </w:p>
    <w:p>
      <w:pPr>
        <w:spacing w:after="80" w:before="80" w:line="360" w:lineRule="auto"/>
        <w:jc w:val="both"/>
      </w:pPr>
      <w:r>
        <w:rPr>
          <w:rFonts w:ascii="Arial" w:cs="Arial" w:eastAsia="Arial" w:hAnsi="Arial"/>
          <w:sz w:val="22"/>
          <w:szCs w:val="22"/>
        </w:rPr>
        <w:t xml:space="preserve">El objetivo principal es validar la viabilidad técnica del sistema en condiciones extremas de temperatura y presión, capturando imágenes de la curvatura terrestre y registrando datos científicos en la estrátosfera.</w:t>
      </w:r>
    </w:p>
    <w:p>
      <w:r>
        <w:br w:type="page"/>
      </w:r>
    </w:p>
    <w:p>
      <w:pPr>
        <w:pStyle w:val="Heading1"/>
        <w:spacing w:after="160" w:before="360"/>
      </w:pPr>
      <w:r>
        <w:rPr>
          <w:rFonts w:ascii="Arial" w:cs="Arial" w:eastAsia="Arial" w:hAnsi="Arial"/>
          <w:b/>
          <w:bCs/>
          <w:sz w:val="28"/>
          <w:szCs w:val="28"/>
        </w:rPr>
        <w:t xml:space="preserve">2. Introducción</w:t>
      </w:r>
    </w:p>
    <w:p>
      <w:pPr>
        <w:pStyle w:val="Heading2"/>
        <w:spacing w:after="120" w:before="240"/>
      </w:pPr>
      <w:r>
        <w:rPr>
          <w:rFonts w:ascii="Arial" w:cs="Arial" w:eastAsia="Arial" w:hAnsi="Arial"/>
          <w:b/>
          <w:bCs/>
          <w:sz w:val="24"/>
          <w:szCs w:val="24"/>
        </w:rPr>
        <w:t xml:space="preserve">Presentación y Contexto</w:t>
      </w:r>
    </w:p>
    <w:p>
      <w:pPr>
        <w:spacing w:after="80" w:before="80" w:line="360" w:lineRule="auto"/>
        <w:jc w:val="both"/>
      </w:pPr>
      <w:r>
        <w:rPr>
          <w:rFonts w:ascii="Arial" w:cs="Arial" w:eastAsia="Arial" w:hAnsi="Arial"/>
          <w:sz w:val="22"/>
          <w:szCs w:val="22"/>
        </w:rPr>
        <w:t xml:space="preserve">Stella ST es un proyecto de desarrollo tecnológico y educativo impulsado por estudiantes de la EEST N°2 “Luciano Fortabat”. Su nombre evoca la aspiración de alcanzar las estrellas a través del conocimiento y la innovación. El proyecto consiste en el diseño, construcción y lanzamiento de un globo estratosférico instrumentado que ascenderá hasta entre 25 y 35 km de altitud.</w:t>
      </w:r>
    </w:p>
    <w:p>
      <w:pPr>
        <w:spacing w:after="80" w:before="80" w:line="360" w:lineRule="auto"/>
        <w:jc w:val="both"/>
      </w:pPr>
      <w:r>
        <w:rPr>
          <w:rFonts w:ascii="Arial" w:cs="Arial" w:eastAsia="Arial" w:hAnsi="Arial"/>
          <w:sz w:val="22"/>
          <w:szCs w:val="22"/>
        </w:rPr>
        <w:t xml:space="preserve">El proyecto nace en el ámbito de la escuela técnica, donde los estudiantes cuentan con formación en electrónica, programación y sistemas. La iniciativa busca trascender el aula y aplicar esos conocimientos en un desafío real, complejo y de alto impacto. El lanzamiento se enmarca en el contexto local de Olavarría, con coordinación iniciada con el aeródromo local y la firma Aviación Agrícola Argentina S.A. de Azul.</w:t>
      </w:r>
    </w:p>
    <w:p>
      <w:pPr>
        <w:pStyle w:val="Heading2"/>
        <w:spacing w:after="120" w:before="240"/>
      </w:pPr>
      <w:r>
        <w:rPr>
          <w:rFonts w:ascii="Arial" w:cs="Arial" w:eastAsia="Arial" w:hAnsi="Arial"/>
          <w:b/>
          <w:bCs/>
          <w:sz w:val="24"/>
          <w:szCs w:val="24"/>
        </w:rPr>
        <w:t xml:space="preserve">Situación Problemática y Motivación</w:t>
      </w:r>
    </w:p>
    <w:p>
      <w:pPr>
        <w:spacing w:after="80" w:before="80" w:line="360" w:lineRule="auto"/>
        <w:jc w:val="both"/>
      </w:pPr>
      <w:r>
        <w:rPr>
          <w:rFonts w:ascii="Arial" w:cs="Arial" w:eastAsia="Arial" w:hAnsi="Arial"/>
          <w:sz w:val="22"/>
          <w:szCs w:val="22"/>
        </w:rPr>
        <w:t xml:space="preserve">La motivación central del equipo es demostrar que los estudiantes de escuelas técnicas pueden llevar adelante iniciativas científicas y tecnológicas de alcance real. Se busca posicionar a la institución dentro de proyectos innovadores a nivel regional y nacional, generar un impacto positivo en la comunidad y convertir a Olavarría en referente de educación aplicada. En caso de concretarse el aval del aeródromo local, sería el primer proyecto en que dicha institución participa por fuera del transporte de aviación convencional.</w:t>
      </w:r>
    </w:p>
    <w:p>
      <w:pPr>
        <w:spacing w:after="80" w:before="80" w:line="360" w:lineRule="auto"/>
        <w:jc w:val="both"/>
      </w:pPr>
      <w:r>
        <w:rPr>
          <w:rFonts w:ascii="Arial" w:cs="Arial" w:eastAsia="Arial" w:hAnsi="Arial"/>
          <w:sz w:val="22"/>
          <w:szCs w:val="22"/>
        </w:rPr>
        <w:t xml:space="preserve">La vinculación con los contenidos curriculares es directa: el proyecto integra unidades de Electrónica, Programación, Física, Química y Telecomunicaciones correspondientes a la Tecnicatura en Informática Profesional y Personal, así como competencias transversales de gestión de proyectos, elaboración de presupuestos y comunicación pública.</w:t>
      </w:r>
    </w:p>
    <w:p>
      <w:pPr>
        <w:pStyle w:val="Heading2"/>
        <w:spacing w:after="120" w:before="240"/>
      </w:pPr>
      <w:r>
        <w:rPr>
          <w:rFonts w:ascii="Arial" w:cs="Arial" w:eastAsia="Arial" w:hAnsi="Arial"/>
          <w:b/>
          <w:bCs/>
          <w:sz w:val="24"/>
          <w:szCs w:val="24"/>
        </w:rPr>
        <w:t xml:space="preserve">Objetivos</w:t>
      </w:r>
    </w:p>
    <w:p>
      <w:pPr>
        <w:spacing w:after="60" w:before="80" w:line="360" w:lineRule="auto"/>
      </w:pPr>
      <w:r>
        <w:rPr>
          <w:rFonts w:ascii="Arial" w:cs="Arial" w:eastAsia="Arial" w:hAnsi="Arial"/>
          <w:b/>
          <w:bCs/>
          <w:sz w:val="22"/>
          <w:szCs w:val="22"/>
        </w:rPr>
        <w:t xml:space="preserve">Objetivo General</w:t>
      </w:r>
    </w:p>
    <w:p>
      <w:pPr>
        <w:spacing w:after="80" w:before="80" w:line="360" w:lineRule="auto"/>
        <w:jc w:val="both"/>
      </w:pPr>
      <w:r>
        <w:rPr>
          <w:rFonts w:ascii="Arial" w:cs="Arial" w:eastAsia="Arial" w:hAnsi="Arial"/>
          <w:sz w:val="22"/>
          <w:szCs w:val="22"/>
        </w:rPr>
        <w:t xml:space="preserve">Enviar un globo sonda a la estrátosfera que capture imágenes y videos de la curvatura de la Tierra, registre mediante sensores datos del entorno (temperatura, presión, altitud y ubicación) y transmita el proceso en vivo a una estación en tierra.</w:t>
      </w:r>
    </w:p>
    <w:p>
      <w:pPr>
        <w:spacing w:after="60" w:before="80" w:line="360" w:lineRule="auto"/>
      </w:pPr>
      <w:r>
        <w:rPr>
          <w:rFonts w:ascii="Arial" w:cs="Arial" w:eastAsia="Arial" w:hAnsi="Arial"/>
          <w:b/>
          <w:bCs/>
          <w:sz w:val="22"/>
          <w:szCs w:val="22"/>
        </w:rPr>
        <w:t xml:space="preserve">Objetivos Específicos — Generales</w:t>
      </w:r>
    </w:p>
    <w:p>
      <w:pPr>
        <w:pStyle w:val="ListParagraph"/>
        <w:numPr>
          <w:ilvl w:val="0"/>
          <w:numId w:val="2"/>
        </w:numPr>
        <w:spacing w:after="60" w:before="60" w:line="360" w:lineRule="auto"/>
      </w:pPr>
      <w:r>
        <w:rPr>
          <w:rFonts w:ascii="Arial" w:cs="Arial" w:eastAsia="Arial" w:hAnsi="Arial"/>
          <w:sz w:val="22"/>
          <w:szCs w:val="22"/>
        </w:rPr>
        <w:t xml:space="preserve">Implementar un sistema computacional basado en Raspberry Pi 4 para la adquisición y gestión de datos.</w:t>
      </w:r>
    </w:p>
    <w:p>
      <w:pPr>
        <w:pStyle w:val="ListParagraph"/>
        <w:numPr>
          <w:ilvl w:val="0"/>
          <w:numId w:val="2"/>
        </w:numPr>
        <w:spacing w:after="60" w:before="60" w:line="360" w:lineRule="auto"/>
      </w:pPr>
      <w:r>
        <w:rPr>
          <w:rFonts w:ascii="Arial" w:cs="Arial" w:eastAsia="Arial" w:hAnsi="Arial"/>
          <w:sz w:val="22"/>
          <w:szCs w:val="22"/>
        </w:rPr>
        <w:t xml:space="preserve">Diseñar una cápsula de transporte segura que proteja los componentes durante el ascenso y descenso.</w:t>
      </w:r>
    </w:p>
    <w:p>
      <w:pPr>
        <w:pStyle w:val="ListParagraph"/>
        <w:numPr>
          <w:ilvl w:val="0"/>
          <w:numId w:val="2"/>
        </w:numPr>
        <w:spacing w:after="60" w:before="60" w:line="360" w:lineRule="auto"/>
      </w:pPr>
      <w:r>
        <w:rPr>
          <w:rFonts w:ascii="Arial" w:cs="Arial" w:eastAsia="Arial" w:hAnsi="Arial"/>
          <w:sz w:val="22"/>
          <w:szCs w:val="22"/>
        </w:rPr>
        <w:t xml:space="preserve">Definir y validar el sistema de comunicación y telemetría más adecuado para la operación.</w:t>
      </w:r>
    </w:p>
    <w:p>
      <w:pPr>
        <w:pStyle w:val="ListParagraph"/>
        <w:numPr>
          <w:ilvl w:val="0"/>
          <w:numId w:val="2"/>
        </w:numPr>
        <w:spacing w:after="60" w:before="60" w:line="360" w:lineRule="auto"/>
      </w:pPr>
      <w:r>
        <w:rPr>
          <w:rFonts w:ascii="Arial" w:cs="Arial" w:eastAsia="Arial" w:hAnsi="Arial"/>
          <w:sz w:val="22"/>
          <w:szCs w:val="22"/>
        </w:rPr>
        <w:t xml:space="preserve">Difundir el proyecto ante la comunidad y conseguir patrocinadores para su financiamiento.</w:t>
      </w:r>
    </w:p>
    <w:p>
      <w:pPr>
        <w:spacing w:after="60" w:before="80" w:line="360" w:lineRule="auto"/>
      </w:pPr>
      <w:r>
        <w:rPr>
          <w:rFonts w:ascii="Arial" w:cs="Arial" w:eastAsia="Arial" w:hAnsi="Arial"/>
          <w:b/>
          <w:bCs/>
          <w:sz w:val="22"/>
          <w:szCs w:val="22"/>
        </w:rPr>
        <w:t xml:space="preserve">Objetivos Específicos — Equipo de Vuelo</w:t>
      </w:r>
    </w:p>
    <w:p>
      <w:pPr>
        <w:pStyle w:val="ListParagraph"/>
        <w:numPr>
          <w:ilvl w:val="0"/>
          <w:numId w:val="2"/>
        </w:numPr>
        <w:spacing w:after="60" w:before="60" w:line="360" w:lineRule="auto"/>
      </w:pPr>
      <w:r>
        <w:rPr>
          <w:rFonts w:ascii="Arial" w:cs="Arial" w:eastAsia="Arial" w:hAnsi="Arial"/>
          <w:sz w:val="22"/>
          <w:szCs w:val="22"/>
        </w:rPr>
        <w:t xml:space="preserve">Conocer la legislación aérea vigente (RAAC Parte 32) y obtener los permisos necesarios para el lanzamiento.</w:t>
      </w:r>
    </w:p>
    <w:p>
      <w:pPr>
        <w:pStyle w:val="ListParagraph"/>
        <w:numPr>
          <w:ilvl w:val="0"/>
          <w:numId w:val="2"/>
        </w:numPr>
        <w:spacing w:after="60" w:before="60" w:line="360" w:lineRule="auto"/>
      </w:pPr>
      <w:r>
        <w:rPr>
          <w:rFonts w:ascii="Arial" w:cs="Arial" w:eastAsia="Arial" w:hAnsi="Arial"/>
          <w:sz w:val="22"/>
          <w:szCs w:val="22"/>
        </w:rPr>
        <w:t xml:space="preserve">Analizar cómo afectan el viento, la presión y la temperatura al vuelo del globo.</w:t>
      </w:r>
    </w:p>
    <w:p>
      <w:pPr>
        <w:pStyle w:val="ListParagraph"/>
        <w:numPr>
          <w:ilvl w:val="0"/>
          <w:numId w:val="2"/>
        </w:numPr>
        <w:spacing w:after="60" w:before="60" w:line="360" w:lineRule="auto"/>
      </w:pPr>
      <w:r>
        <w:rPr>
          <w:rFonts w:ascii="Arial" w:cs="Arial" w:eastAsia="Arial" w:hAnsi="Arial"/>
          <w:sz w:val="22"/>
          <w:szCs w:val="22"/>
        </w:rPr>
        <w:t xml:space="preserve">Calcular los parámetros operativos: volumen de helio, trayectoria estimada y zona de caída.</w:t>
      </w:r>
    </w:p>
    <w:p>
      <w:pPr>
        <w:spacing w:after="60" w:before="80" w:line="360" w:lineRule="auto"/>
      </w:pPr>
      <w:r>
        <w:rPr>
          <w:rFonts w:ascii="Arial" w:cs="Arial" w:eastAsia="Arial" w:hAnsi="Arial"/>
          <w:b/>
          <w:bCs/>
          <w:sz w:val="22"/>
          <w:szCs w:val="22"/>
        </w:rPr>
        <w:t xml:space="preserve">Objetivos Específicos — Equipo de Comunicaciones</w:t>
      </w:r>
    </w:p>
    <w:p>
      <w:pPr>
        <w:pStyle w:val="ListParagraph"/>
        <w:numPr>
          <w:ilvl w:val="0"/>
          <w:numId w:val="2"/>
        </w:numPr>
        <w:spacing w:after="60" w:before="60" w:line="360" w:lineRule="auto"/>
      </w:pPr>
      <w:r>
        <w:rPr>
          <w:rFonts w:ascii="Arial" w:cs="Arial" w:eastAsia="Arial" w:hAnsi="Arial"/>
          <w:sz w:val="22"/>
          <w:szCs w:val="22"/>
        </w:rPr>
        <w:t xml:space="preserve">Determinar los componentes y conexiones necesarios para capturar, transmitir y almacenar datos y video.</w:t>
      </w:r>
    </w:p>
    <w:p>
      <w:pPr>
        <w:pStyle w:val="ListParagraph"/>
        <w:numPr>
          <w:ilvl w:val="0"/>
          <w:numId w:val="2"/>
        </w:numPr>
        <w:spacing w:after="60" w:before="60" w:line="360" w:lineRule="auto"/>
      </w:pPr>
      <w:r>
        <w:rPr>
          <w:rFonts w:ascii="Arial" w:cs="Arial" w:eastAsia="Arial" w:hAnsi="Arial"/>
          <w:sz w:val="22"/>
          <w:szCs w:val="22"/>
        </w:rPr>
        <w:t xml:space="preserve">Programar el sistema que permita la captura automática de datos y video durante el vuelo.</w:t>
      </w:r>
    </w:p>
    <w:p>
      <w:pPr>
        <w:pStyle w:val="ListParagraph"/>
        <w:numPr>
          <w:ilvl w:val="0"/>
          <w:numId w:val="2"/>
        </w:numPr>
        <w:spacing w:after="60" w:before="60" w:line="360" w:lineRule="auto"/>
      </w:pPr>
      <w:r>
        <w:rPr>
          <w:rFonts w:ascii="Arial" w:cs="Arial" w:eastAsia="Arial" w:hAnsi="Arial"/>
          <w:sz w:val="22"/>
          <w:szCs w:val="22"/>
        </w:rPr>
        <w:t xml:space="preserve">Realizar pruebas preliminares de funcionamiento del sistema completo.</w:t>
      </w:r>
    </w:p>
    <w:p>
      <w:pPr>
        <w:spacing w:after="60" w:before="80" w:line="360" w:lineRule="auto"/>
      </w:pPr>
      <w:r>
        <w:rPr>
          <w:rFonts w:ascii="Arial" w:cs="Arial" w:eastAsia="Arial" w:hAnsi="Arial"/>
          <w:b/>
          <w:bCs/>
          <w:sz w:val="22"/>
          <w:szCs w:val="22"/>
        </w:rPr>
        <w:t xml:space="preserve">Objetivos Específicos — Equipo de Diseño</w:t>
      </w:r>
    </w:p>
    <w:p>
      <w:pPr>
        <w:pStyle w:val="ListParagraph"/>
        <w:numPr>
          <w:ilvl w:val="0"/>
          <w:numId w:val="2"/>
        </w:numPr>
        <w:spacing w:after="60" w:before="60" w:line="360" w:lineRule="auto"/>
      </w:pPr>
      <w:r>
        <w:rPr>
          <w:rFonts w:ascii="Arial" w:cs="Arial" w:eastAsia="Arial" w:hAnsi="Arial"/>
          <w:sz w:val="22"/>
          <w:szCs w:val="22"/>
        </w:rPr>
        <w:t xml:space="preserve">Diseñar y prototipar la cápsula mediante impresión 3D en filamento PETG.</w:t>
      </w:r>
    </w:p>
    <w:p>
      <w:pPr>
        <w:pStyle w:val="ListParagraph"/>
        <w:numPr>
          <w:ilvl w:val="0"/>
          <w:numId w:val="2"/>
        </w:numPr>
        <w:spacing w:after="60" w:before="60" w:line="360" w:lineRule="auto"/>
      </w:pPr>
      <w:r>
        <w:rPr>
          <w:rFonts w:ascii="Arial" w:cs="Arial" w:eastAsia="Arial" w:hAnsi="Arial"/>
          <w:sz w:val="22"/>
          <w:szCs w:val="22"/>
        </w:rPr>
        <w:t xml:space="preserve">Optimizar la distribución de peso y el centro de gravedad del sistema.</w:t>
      </w:r>
    </w:p>
    <w:p>
      <w:pPr>
        <w:pStyle w:val="ListParagraph"/>
        <w:numPr>
          <w:ilvl w:val="0"/>
          <w:numId w:val="2"/>
        </w:numPr>
        <w:spacing w:after="60" w:before="60" w:line="360" w:lineRule="auto"/>
      </w:pPr>
      <w:r>
        <w:rPr>
          <w:rFonts w:ascii="Arial" w:cs="Arial" w:eastAsia="Arial" w:hAnsi="Arial"/>
          <w:sz w:val="22"/>
          <w:szCs w:val="22"/>
        </w:rPr>
        <w:t xml:space="preserve">Garantizar la protección térmica y mecánica de los componentes electrónicos.</w:t>
      </w:r>
    </w:p>
    <w:p>
      <w:pPr>
        <w:spacing w:after="60" w:before="80" w:line="360" w:lineRule="auto"/>
      </w:pPr>
      <w:r>
        <w:rPr>
          <w:rFonts w:ascii="Arial" w:cs="Arial" w:eastAsia="Arial" w:hAnsi="Arial"/>
          <w:b/>
          <w:bCs/>
          <w:sz w:val="22"/>
          <w:szCs w:val="22"/>
        </w:rPr>
        <w:t xml:space="preserve">Objetivos Específicos — Equipo de Redes Sociales</w:t>
      </w:r>
    </w:p>
    <w:p>
      <w:pPr>
        <w:pStyle w:val="ListParagraph"/>
        <w:numPr>
          <w:ilvl w:val="0"/>
          <w:numId w:val="2"/>
        </w:numPr>
        <w:spacing w:after="60" w:before="60" w:line="360" w:lineRule="auto"/>
      </w:pPr>
      <w:r>
        <w:rPr>
          <w:rFonts w:ascii="Arial" w:cs="Arial" w:eastAsia="Arial" w:hAnsi="Arial"/>
          <w:sz w:val="22"/>
          <w:szCs w:val="22"/>
        </w:rPr>
        <w:t xml:space="preserve">Conseguir patrocinadores para el proyecto.</w:t>
      </w:r>
    </w:p>
    <w:p>
      <w:pPr>
        <w:pStyle w:val="ListParagraph"/>
        <w:numPr>
          <w:ilvl w:val="0"/>
          <w:numId w:val="2"/>
        </w:numPr>
        <w:spacing w:after="60" w:before="60" w:line="360" w:lineRule="auto"/>
      </w:pPr>
      <w:r>
        <w:rPr>
          <w:rFonts w:ascii="Arial" w:cs="Arial" w:eastAsia="Arial" w:hAnsi="Arial"/>
          <w:sz w:val="22"/>
          <w:szCs w:val="22"/>
        </w:rPr>
        <w:t xml:space="preserve">Documentar el avance del proyecto y difundirlo en plataformas digitales.</w:t>
      </w:r>
    </w:p>
    <w:p>
      <w:pPr>
        <w:pStyle w:val="ListParagraph"/>
        <w:numPr>
          <w:ilvl w:val="0"/>
          <w:numId w:val="2"/>
        </w:numPr>
        <w:spacing w:after="60" w:before="60" w:line="360" w:lineRule="auto"/>
      </w:pPr>
      <w:r>
        <w:rPr>
          <w:rFonts w:ascii="Arial" w:cs="Arial" w:eastAsia="Arial" w:hAnsi="Arial"/>
          <w:sz w:val="22"/>
          <w:szCs w:val="22"/>
        </w:rPr>
        <w:t xml:space="preserve">Transmitir el lanzamiento en vivo y gestionar la convocatoria de público.</w:t>
      </w:r>
    </w:p>
    <w:p>
      <w:pPr>
        <w:pStyle w:val="Heading2"/>
        <w:spacing w:after="120" w:before="240"/>
      </w:pPr>
      <w:r>
        <w:rPr>
          <w:rFonts w:ascii="Arial" w:cs="Arial" w:eastAsia="Arial" w:hAnsi="Arial"/>
          <w:b/>
          <w:bCs/>
          <w:sz w:val="24"/>
          <w:szCs w:val="24"/>
        </w:rPr>
        <w:t xml:space="preserve">Hipótesis</w:t>
      </w:r>
    </w:p>
    <w:p>
      <w:pPr>
        <w:spacing w:after="80" w:before="80" w:line="360" w:lineRule="auto"/>
        <w:jc w:val="both"/>
      </w:pPr>
      <w:r>
        <w:rPr>
          <w:rFonts w:ascii="Arial" w:cs="Arial" w:eastAsia="Arial" w:hAnsi="Arial"/>
          <w:sz w:val="22"/>
          <w:szCs w:val="22"/>
        </w:rPr>
        <w:t xml:space="preserve">Es posible construir y operar un globo estratosférico instrumentado con componentes de bajo costo, capaz de alcanzar la estrátosfera y retornar datos científicos válidos (temperatura, presión, altitud e imágenes), demostrando la viabilidad del proyecto en un contexto educativo de nivel secundario técnico.</w:t>
      </w:r>
    </w:p>
    <w:p>
      <w:r>
        <w:br w:type="page"/>
      </w:r>
    </w:p>
    <w:p>
      <w:pPr>
        <w:pStyle w:val="Heading1"/>
        <w:spacing w:after="160" w:before="360"/>
      </w:pPr>
      <w:r>
        <w:rPr>
          <w:rFonts w:ascii="Arial" w:cs="Arial" w:eastAsia="Arial" w:hAnsi="Arial"/>
          <w:b/>
          <w:bCs/>
          <w:sz w:val="28"/>
          <w:szCs w:val="28"/>
        </w:rPr>
        <w:t xml:space="preserve">3. Marco Teórico</w:t>
      </w:r>
    </w:p>
    <w:p>
      <w:pPr>
        <w:pStyle w:val="Heading2"/>
        <w:spacing w:after="120" w:before="240"/>
      </w:pPr>
      <w:r>
        <w:rPr>
          <w:rFonts w:ascii="Arial" w:cs="Arial" w:eastAsia="Arial" w:hAnsi="Arial"/>
          <w:b/>
          <w:bCs/>
          <w:sz w:val="24"/>
          <w:szCs w:val="24"/>
        </w:rPr>
        <w:t xml:space="preserve">La Atmósfera Terrestre y la Estrátosfera</w:t>
      </w:r>
    </w:p>
    <w:p>
      <w:pPr>
        <w:spacing w:after="80" w:before="80" w:line="360" w:lineRule="auto"/>
        <w:jc w:val="both"/>
      </w:pPr>
      <w:r>
        <w:rPr>
          <w:rFonts w:ascii="Arial" w:cs="Arial" w:eastAsia="Arial" w:hAnsi="Arial"/>
          <w:sz w:val="22"/>
          <w:szCs w:val="22"/>
        </w:rPr>
        <w:t xml:space="preserve">Para comprender el entorno en que operará el Proyecto Stella, es fundamental conocer las capas de la atmósfera y sus características:</w:t>
      </w:r>
    </w:p>
    <w:p>
      <w:pPr>
        <w:spacing w:after="60" w:before="80" w:line="360" w:lineRule="auto"/>
      </w:pPr>
      <w:r>
        <w:rPr>
          <w:rFonts w:ascii="Arial" w:cs="Arial" w:eastAsia="Arial" w:hAnsi="Arial"/>
          <w:b/>
          <w:bCs/>
          <w:sz w:val="22"/>
          <w:szCs w:val="22"/>
        </w:rPr>
        <w:t xml:space="preserve">Troposfera (0 a 12–18 km)</w:t>
      </w:r>
    </w:p>
    <w:p>
      <w:pPr>
        <w:spacing w:after="80" w:before="80" w:line="360" w:lineRule="auto"/>
        <w:jc w:val="both"/>
      </w:pPr>
      <w:r>
        <w:rPr>
          <w:rFonts w:ascii="Arial" w:cs="Arial" w:eastAsia="Arial" w:hAnsi="Arial"/>
          <w:sz w:val="22"/>
          <w:szCs w:val="22"/>
        </w:rPr>
        <w:t xml:space="preserve">Es la capa más baja, donde se producen los fenómenos meteorológicos. Su temperatura disminuye con la altitud hasta aproximadamente -50°C en su límite superior. Contiene el 75% de la masa gaseosa de la atmósfera y casi todo el vapor de agua.</w:t>
      </w:r>
    </w:p>
    <w:p>
      <w:pPr>
        <w:spacing w:after="60" w:before="80" w:line="360" w:lineRule="auto"/>
      </w:pPr>
      <w:r>
        <w:rPr>
          <w:rFonts w:ascii="Arial" w:cs="Arial" w:eastAsia="Arial" w:hAnsi="Arial"/>
          <w:b/>
          <w:bCs/>
          <w:sz w:val="22"/>
          <w:szCs w:val="22"/>
        </w:rPr>
        <w:t xml:space="preserve">Estrátosfera (12 a 50 km)</w:t>
      </w:r>
    </w:p>
    <w:p>
      <w:pPr>
        <w:spacing w:after="80" w:before="80" w:line="360" w:lineRule="auto"/>
        <w:jc w:val="both"/>
      </w:pPr>
      <w:r>
        <w:rPr>
          <w:rFonts w:ascii="Arial" w:cs="Arial" w:eastAsia="Arial" w:hAnsi="Arial"/>
          <w:sz w:val="22"/>
          <w:szCs w:val="22"/>
        </w:rPr>
        <w:t xml:space="preserve">Zona objetivo del proyecto. A diferencia de la troposfera, la temperatura aquí aumenta con la altitud gracias a la absorción de rayos ultravioleta por la capa de ozono. El aire es muy seco y estable. Los globos meteorológicos suelen operar en este rango. Las temperaturas pueden descender hasta -60°C en las capas más bajas de esta zona.</w:t>
      </w:r>
    </w:p>
    <w:p>
      <w:pPr>
        <w:spacing w:after="60" w:before="80" w:line="360" w:lineRule="auto"/>
      </w:pPr>
      <w:r>
        <w:rPr>
          <w:rFonts w:ascii="Arial" w:cs="Arial" w:eastAsia="Arial" w:hAnsi="Arial"/>
          <w:b/>
          <w:bCs/>
          <w:sz w:val="22"/>
          <w:szCs w:val="22"/>
        </w:rPr>
        <w:t xml:space="preserve">Mesosfera (50 a 85 km)</w:t>
      </w:r>
    </w:p>
    <w:p>
      <w:pPr>
        <w:spacing w:after="80" w:before="80" w:line="360" w:lineRule="auto"/>
        <w:jc w:val="both"/>
      </w:pPr>
      <w:r>
        <w:rPr>
          <w:rFonts w:ascii="Arial" w:cs="Arial" w:eastAsia="Arial" w:hAnsi="Arial"/>
          <w:sz w:val="22"/>
          <w:szCs w:val="22"/>
        </w:rPr>
        <w:t xml:space="preserve">La capa más fría de la atmósfera, con temperaturas de hasta -90°C. Su densidad aúun es suficiente para desintegrar la mayoría de los meteoritos, generando las “estrellas fugaces”.</w:t>
      </w:r>
    </w:p>
    <w:p>
      <w:pPr>
        <w:spacing w:after="60" w:before="80" w:line="360" w:lineRule="auto"/>
      </w:pPr>
      <w:r>
        <w:rPr>
          <w:rFonts w:ascii="Arial" w:cs="Arial" w:eastAsia="Arial" w:hAnsi="Arial"/>
          <w:b/>
          <w:bCs/>
          <w:sz w:val="22"/>
          <w:szCs w:val="22"/>
        </w:rPr>
        <w:t xml:space="preserve">Termosfera / Ionosfera (85 a 600 km)</w:t>
      </w:r>
    </w:p>
    <w:p>
      <w:pPr>
        <w:spacing w:after="80" w:before="80" w:line="360" w:lineRule="auto"/>
        <w:jc w:val="both"/>
      </w:pPr>
      <w:r>
        <w:rPr>
          <w:rFonts w:ascii="Arial" w:cs="Arial" w:eastAsia="Arial" w:hAnsi="Arial"/>
          <w:sz w:val="22"/>
          <w:szCs w:val="22"/>
        </w:rPr>
        <w:t xml:space="preserve">Temperatura extremadamente alta por exposición directa a radiación solar. Aquí orbitan los transbordadores espaciales. Los átomos están ionizados, lo que permite la propagación de ondas de radio.</w:t>
      </w:r>
    </w:p>
    <w:p>
      <w:pPr>
        <w:spacing w:after="60" w:before="80" w:line="360" w:lineRule="auto"/>
      </w:pPr>
      <w:r>
        <w:rPr>
          <w:rFonts w:ascii="Arial" w:cs="Arial" w:eastAsia="Arial" w:hAnsi="Arial"/>
          <w:b/>
          <w:bCs/>
          <w:sz w:val="22"/>
          <w:szCs w:val="22"/>
        </w:rPr>
        <w:t xml:space="preserve">Exosfera (600 a 10.000 km)</w:t>
      </w:r>
    </w:p>
    <w:p>
      <w:pPr>
        <w:spacing w:after="80" w:before="80" w:line="360" w:lineRule="auto"/>
        <w:jc w:val="both"/>
      </w:pPr>
      <w:r>
        <w:rPr>
          <w:rFonts w:ascii="Arial" w:cs="Arial" w:eastAsia="Arial" w:hAnsi="Arial"/>
          <w:sz w:val="22"/>
          <w:szCs w:val="22"/>
        </w:rPr>
        <w:t xml:space="preserve">La capa más externa. Los gases son tan tenues que escapan hacia el espacio. Zona ideal para satélites de órbita baja.</w:t>
      </w:r>
    </w:p>
    <w:p>
      <w:pPr>
        <w:pStyle w:val="Heading2"/>
        <w:spacing w:after="120" w:before="240"/>
      </w:pPr>
      <w:r>
        <w:rPr>
          <w:rFonts w:ascii="Arial" w:cs="Arial" w:eastAsia="Arial" w:hAnsi="Arial"/>
          <w:b/>
          <w:bCs/>
          <w:sz w:val="24"/>
          <w:szCs w:val="24"/>
        </w:rPr>
        <w:t xml:space="preserve">Globos Sonda Estratosféricos</w:t>
      </w:r>
    </w:p>
    <w:p>
      <w:pPr>
        <w:spacing w:after="80" w:before="80" w:line="360" w:lineRule="auto"/>
        <w:jc w:val="both"/>
      </w:pPr>
      <w:r>
        <w:rPr>
          <w:rFonts w:ascii="Arial" w:cs="Arial" w:eastAsia="Arial" w:hAnsi="Arial"/>
          <w:sz w:val="22"/>
          <w:szCs w:val="22"/>
        </w:rPr>
        <w:t xml:space="preserve">Los globos sonda son utilizados ampliamente por organismos meteorológicos y agencias espaciales para el estudio de la atmósfera. Ascienden mediante globos de látex inflados con helio, que se expanden a medida que disminuye la presión exterior hasta alcanzar su punto de ruptura natural. A nivel educativo, proyectos similares han sido llevados adelante por universidades e instituciones internacionales, demostrando la viabilidad de plataformas de bajo costo para la exploración estratosférica.</w:t>
      </w:r>
    </w:p>
    <w:p>
      <w:pPr>
        <w:pStyle w:val="Heading2"/>
        <w:spacing w:after="120" w:before="240"/>
      </w:pPr>
      <w:r>
        <w:rPr>
          <w:rFonts w:ascii="Arial" w:cs="Arial" w:eastAsia="Arial" w:hAnsi="Arial"/>
          <w:b/>
          <w:bCs/>
          <w:sz w:val="24"/>
          <w:szCs w:val="24"/>
        </w:rPr>
        <w:t xml:space="preserve">Cálculos Operativos del Vuelo</w:t>
      </w:r>
    </w:p>
    <w:p>
      <w:pPr>
        <w:spacing w:after="80" w:before="80" w:line="360" w:lineRule="auto"/>
        <w:jc w:val="both"/>
      </w:pPr>
      <w:r>
        <w:rPr>
          <w:rFonts w:ascii="Arial" w:cs="Arial" w:eastAsia="Arial" w:hAnsi="Arial"/>
          <w:sz w:val="22"/>
          <w:szCs w:val="22"/>
        </w:rPr>
        <w:t xml:space="preserve">El equipo de Vuelo realizó los siguientes cálculos para el perfil de vuelo de Stella: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spacing w:line="300" w:lineRule="auto"/>
              <w:jc w:val="left"/>
            </w:pPr>
            <w:r>
              <w:rPr>
                <w:rFonts w:ascii="Arial" w:cs="Arial" w:eastAsia="Arial" w:hAnsi="Arial"/>
                <w:b/>
                <w:bCs/>
                <w:color w:val="FFFFFF"/>
                <w:sz w:val="20"/>
                <w:szCs w:val="20"/>
              </w:rPr>
              <w:t xml:space="preserve">Parámetro</w:t>
            </w:r>
          </w:p>
        </w:tc>
        <w:tc>
          <w:tcPr>
            <w:tcW w:type="dxa" w:w="5426"/>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spacing w:line="300" w:lineRule="auto"/>
              <w:jc w:val="left"/>
            </w:pPr>
            <w:r>
              <w:rPr>
                <w:rFonts w:ascii="Arial" w:cs="Arial" w:eastAsia="Arial" w:hAnsi="Arial"/>
                <w:b/>
                <w:bCs/>
                <w:color w:val="FFFFFF"/>
                <w:sz w:val="20"/>
                <w:szCs w:val="20"/>
              </w:rPr>
              <w:t xml:space="preserve">Valor</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Velocidad de ascenso</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5,5 m/s</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Velocidad de descenso</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5,8 m/s</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Altitud de estallido del globo</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35.000 m (35 km)</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Tiempo de ascenso</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1 h 46 min 3,6 s  (6.363,6 s)</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Tiempo de descenso</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1 h 40 min 34,5 s  (6.034,5 s)</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Tiempo total de vuelo</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3 h 26 min 38 s</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Desplazamiento horizontal estimado</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~151,6 km desde el punto de lanzamiento</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Volumen de helio necesario</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5,45 m³</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Peso total de la carga útil</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~2,5 kg (cápsula + componentes)</w:t>
            </w:r>
          </w:p>
        </w:tc>
      </w:tr>
    </w:tbl>
    <w:p>
      <w:pPr>
        <w:spacing w:before="200"/>
      </w:pPr>
    </w:p>
    <w:p>
      <w:pPr>
        <w:pStyle w:val="Heading2"/>
        <w:spacing w:after="120" w:before="240"/>
      </w:pPr>
      <w:r>
        <w:rPr>
          <w:rFonts w:ascii="Arial" w:cs="Arial" w:eastAsia="Arial" w:hAnsi="Arial"/>
          <w:b/>
          <w:bCs/>
          <w:sz w:val="24"/>
          <w:szCs w:val="24"/>
        </w:rPr>
        <w:t xml:space="preserve">Marco Legal Aeronáutico</w:t>
      </w:r>
    </w:p>
    <w:p>
      <w:pPr>
        <w:spacing w:after="80" w:before="80" w:line="360" w:lineRule="auto"/>
        <w:jc w:val="both"/>
      </w:pPr>
      <w:r>
        <w:rPr>
          <w:rFonts w:ascii="Arial" w:cs="Arial" w:eastAsia="Arial" w:hAnsi="Arial"/>
          <w:sz w:val="22"/>
          <w:szCs w:val="22"/>
        </w:rPr>
        <w:t xml:space="preserve">El lanzamiento de un globo libre no tripulado en Argentina está regulado por las Regulaciones Argentinas de Aviación Civil (RAAC) Parte 32 — “Globos Cautivos, Barriletes, Cohetes de Aficionados y Globos Libres No Tripulados”, en su cuarta edición (Resolución ANAC N° 550, agosto 2025). Las subpartes relevantes para el proyecto son la Subparte A (Generalidades, permisos y operaciones en espacio aéreo) y la Subparte D (Globos Libres No Tripulados, equipamiento, notificación e informes de posición).</w:t>
      </w:r>
    </w:p>
    <w:p>
      <w:pPr>
        <w:spacing w:after="80" w:before="80" w:line="360" w:lineRule="auto"/>
        <w:jc w:val="both"/>
      </w:pPr>
      <w:r>
        <w:rPr>
          <w:rFonts w:ascii="Arial" w:cs="Arial" w:eastAsia="Arial" w:hAnsi="Arial"/>
          <w:sz w:val="22"/>
          <w:szCs w:val="22"/>
        </w:rPr>
        <w:t xml:space="preserve">El equipo de Vuelo inició contacto formal con las autoridades del aeródromo local de Olavarría y con la firma Aviación Agrícola Argentina S.A. de Azul, solicitando asesoramiento técnico en modelado de deriva, marco legal y gestión del espacio aéreo (incluyendo la emisión de NOTAM).</w:t>
      </w:r>
    </w:p>
    <w:p>
      <w:pPr>
        <w:pStyle w:val="Heading2"/>
        <w:spacing w:after="120" w:before="240"/>
      </w:pPr>
      <w:r>
        <w:rPr>
          <w:rFonts w:ascii="Arial" w:cs="Arial" w:eastAsia="Arial" w:hAnsi="Arial"/>
          <w:b/>
          <w:bCs/>
          <w:sz w:val="24"/>
          <w:szCs w:val="24"/>
        </w:rPr>
        <w:t xml:space="preserve">Manufact ura Aditiva e Impresión 3D</w:t>
      </w:r>
    </w:p>
    <w:p>
      <w:pPr>
        <w:spacing w:after="80" w:before="80" w:line="360" w:lineRule="auto"/>
        <w:jc w:val="both"/>
      </w:pPr>
      <w:r>
        <w:rPr>
          <w:rFonts w:ascii="Arial" w:cs="Arial" w:eastAsia="Arial" w:hAnsi="Arial"/>
          <w:sz w:val="22"/>
          <w:szCs w:val="22"/>
        </w:rPr>
        <w:t xml:space="preserve">La impresión 3D permite fabricar piezas personalizadas a partir de modelos digitales mediante deposición de material capa por capa. Para la cápsula del Proyecto Stella se utiliza filamento PETG (Polietileno Tereftalato Glicolado), elegido por su combinación de resistencia mecánica, tolerancia térmica y flexibilidad, superiores al PLA estándar en entornos de temperatura variable como la estrátosfera.</w:t>
      </w:r>
    </w:p>
    <w:p>
      <w:r>
        <w:br w:type="page"/>
      </w:r>
    </w:p>
    <w:p>
      <w:pPr>
        <w:pStyle w:val="Heading1"/>
        <w:spacing w:after="160" w:before="360"/>
      </w:pPr>
      <w:r>
        <w:rPr>
          <w:rFonts w:ascii="Arial" w:cs="Arial" w:eastAsia="Arial" w:hAnsi="Arial"/>
          <w:b/>
          <w:bCs/>
          <w:sz w:val="28"/>
          <w:szCs w:val="28"/>
        </w:rPr>
        <w:t xml:space="preserve">4. Materiales y Métodos</w:t>
      </w:r>
    </w:p>
    <w:p>
      <w:pPr>
        <w:pStyle w:val="Heading2"/>
        <w:spacing w:after="120" w:before="240"/>
      </w:pPr>
      <w:r>
        <w:rPr>
          <w:rFonts w:ascii="Arial" w:cs="Arial" w:eastAsia="Arial" w:hAnsi="Arial"/>
          <w:b/>
          <w:bCs/>
          <w:sz w:val="24"/>
          <w:szCs w:val="24"/>
        </w:rPr>
        <w:t xml:space="preserve">Tipo de Abordaje</w:t>
      </w:r>
    </w:p>
    <w:p>
      <w:pPr>
        <w:spacing w:after="80" w:before="80" w:line="360" w:lineRule="auto"/>
        <w:jc w:val="both"/>
      </w:pPr>
      <w:r>
        <w:rPr>
          <w:rFonts w:ascii="Arial" w:cs="Arial" w:eastAsia="Arial" w:hAnsi="Arial"/>
          <w:sz w:val="22"/>
          <w:szCs w:val="22"/>
        </w:rPr>
        <w:t xml:space="preserve">El proyecto adopta un abordaje metodológico de tipo experimental-tecnológico, con componentes cuantitativos (registro de datos de temperatura, presión y altitud) y cualitativos (análisis del proceso de diseño y evaluación del funcionamiento del sistema). La planificación sigue un esquema de gestión de proyectos por etapas con tareas interdependientes. El principio didáctico rector es “de la práctica a la teoría”: cada decisión de diseño se valida mediante pruebas y ensayos concretos.</w:t>
      </w:r>
    </w:p>
    <w:p>
      <w:pPr>
        <w:pStyle w:val="Heading2"/>
        <w:spacing w:after="120" w:before="240"/>
      </w:pPr>
      <w:r>
        <w:rPr>
          <w:rFonts w:ascii="Arial" w:cs="Arial" w:eastAsia="Arial" w:hAnsi="Arial"/>
          <w:b/>
          <w:bCs/>
          <w:sz w:val="24"/>
          <w:szCs w:val="24"/>
        </w:rPr>
        <w:t xml:space="preserve">Organización del Equipo</w:t>
      </w:r>
    </w:p>
    <w:p>
      <w:pPr>
        <w:spacing w:after="80" w:before="80" w:line="360" w:lineRule="auto"/>
        <w:jc w:val="both"/>
      </w:pPr>
      <w:r>
        <w:rPr>
          <w:rFonts w:ascii="Arial" w:cs="Arial" w:eastAsia="Arial" w:hAnsi="Arial"/>
          <w:sz w:val="22"/>
          <w:szCs w:val="22"/>
        </w:rPr>
        <w:t xml:space="preserve">El equipo completo está integrado por 13 estudiantes de 7° año bajo la dirección del Lic. Alejandro Wagner. La estructura organizativa es:</w:t>
      </w:r>
    </w:p>
    <w:p>
      <w:pPr>
        <w:pStyle w:val="ListParagraph"/>
        <w:numPr>
          <w:ilvl w:val="0"/>
          <w:numId w:val="2"/>
        </w:numPr>
        <w:spacing w:after="60" w:before="60" w:line="360" w:lineRule="auto"/>
      </w:pPr>
      <w:r>
        <w:rPr>
          <w:rFonts w:ascii="Arial" w:cs="Arial" w:eastAsia="Arial" w:hAnsi="Arial"/>
          <w:sz w:val="22"/>
          <w:szCs w:val="22"/>
        </w:rPr>
        <w:t xml:space="preserve">Líder del Proyecto: Terenzano Facundo Nahuel.</w:t>
      </w:r>
    </w:p>
    <w:p>
      <w:pPr>
        <w:pStyle w:val="ListParagraph"/>
        <w:numPr>
          <w:ilvl w:val="0"/>
          <w:numId w:val="2"/>
        </w:numPr>
        <w:spacing w:after="60" w:before="60" w:line="360" w:lineRule="auto"/>
      </w:pPr>
      <w:r>
        <w:rPr>
          <w:rFonts w:ascii="Arial" w:cs="Arial" w:eastAsia="Arial" w:hAnsi="Arial"/>
          <w:sz w:val="22"/>
          <w:szCs w:val="22"/>
        </w:rPr>
        <w:t xml:space="preserve">Grupo de Vuelo (Líder: Ruiz Gonzalo): Ibarra Octavio, Martell Dino, Ruiz Thiago. Responsables de cálculos operativos, legislación aérea, permisos ANAC y coordinación con el aeródromo.</w:t>
      </w:r>
    </w:p>
    <w:p>
      <w:pPr>
        <w:pStyle w:val="ListParagraph"/>
        <w:numPr>
          <w:ilvl w:val="0"/>
          <w:numId w:val="2"/>
        </w:numPr>
        <w:spacing w:after="60" w:before="60" w:line="360" w:lineRule="auto"/>
      </w:pPr>
      <w:r>
        <w:rPr>
          <w:rFonts w:ascii="Arial" w:cs="Arial" w:eastAsia="Arial" w:hAnsi="Arial"/>
          <w:sz w:val="22"/>
          <w:szCs w:val="22"/>
        </w:rPr>
        <w:t xml:space="preserve">Grupo de Comunicaciones y Programación (Líder: Rosas Valentina): Agostinho Emilio, Méndez Joaquín, Pérez Samuel. Responsables de selección de componentes, conexiones, programación del sistema y presupuesto.</w:t>
      </w:r>
    </w:p>
    <w:p>
      <w:pPr>
        <w:pStyle w:val="ListParagraph"/>
        <w:numPr>
          <w:ilvl w:val="0"/>
          <w:numId w:val="2"/>
        </w:numPr>
        <w:spacing w:after="60" w:before="60" w:line="360" w:lineRule="auto"/>
      </w:pPr>
      <w:r>
        <w:rPr>
          <w:rFonts w:ascii="Arial" w:cs="Arial" w:eastAsia="Arial" w:hAnsi="Arial"/>
          <w:sz w:val="22"/>
          <w:szCs w:val="22"/>
        </w:rPr>
        <w:t xml:space="preserve">Grupo de Diseño (Líder: Rodríguez Nicolás): Ugalde Agustín, Larrosa Genaro. Responsables del modelado e impresión 3D de la cápsula, distribución de peso y protección térmica.</w:t>
      </w:r>
    </w:p>
    <w:p>
      <w:pPr>
        <w:pStyle w:val="ListParagraph"/>
        <w:numPr>
          <w:ilvl w:val="0"/>
          <w:numId w:val="2"/>
        </w:numPr>
        <w:spacing w:after="60" w:before="60" w:line="360" w:lineRule="auto"/>
      </w:pPr>
      <w:r>
        <w:rPr>
          <w:rFonts w:ascii="Arial" w:cs="Arial" w:eastAsia="Arial" w:hAnsi="Arial"/>
          <w:sz w:val="22"/>
          <w:szCs w:val="22"/>
        </w:rPr>
        <w:t xml:space="preserve">Grupo de Redes Sociales (Líder: Sosa Malena): Documentación, difusión, contacto con patrocinadores y transmisión del lanzamiento.</w:t>
      </w:r>
    </w:p>
    <w:p>
      <w:pPr>
        <w:pStyle w:val="Heading2"/>
        <w:spacing w:after="120" w:before="240"/>
      </w:pPr>
      <w:r>
        <w:rPr>
          <w:rFonts w:ascii="Arial" w:cs="Arial" w:eastAsia="Arial" w:hAnsi="Arial"/>
          <w:b/>
          <w:bCs/>
          <w:sz w:val="24"/>
          <w:szCs w:val="24"/>
        </w:rPr>
        <w:t xml:space="preserve">Componentes del Sistema — Configuración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spacing w:line="300" w:lineRule="auto"/>
              <w:jc w:val="left"/>
            </w:pPr>
            <w:r>
              <w:rPr>
                <w:rFonts w:ascii="Arial" w:cs="Arial" w:eastAsia="Arial" w:hAnsi="Arial"/>
                <w:b/>
                <w:bCs/>
                <w:color w:val="FFFFFF"/>
                <w:sz w:val="20"/>
                <w:szCs w:val="20"/>
              </w:rPr>
              <w:t xml:space="preserve">Componente</w:t>
            </w:r>
          </w:p>
        </w:tc>
        <w:tc>
          <w:tcPr>
            <w:tcW w:type="dxa" w:w="3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spacing w:line="300" w:lineRule="auto"/>
              <w:jc w:val="left"/>
            </w:pPr>
            <w:r>
              <w:rPr>
                <w:rFonts w:ascii="Arial" w:cs="Arial" w:eastAsia="Arial" w:hAnsi="Arial"/>
                <w:b/>
                <w:bCs/>
                <w:color w:val="FFFFFF"/>
                <w:sz w:val="20"/>
                <w:szCs w:val="20"/>
              </w:rPr>
              <w:t xml:space="preserve">Función</w:t>
            </w:r>
          </w:p>
        </w:tc>
        <w:tc>
          <w:tcPr>
            <w:tcW w:type="dxa" w:w="2826"/>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spacing w:line="300" w:lineRule="auto"/>
              <w:jc w:val="left"/>
            </w:pPr>
            <w:r>
              <w:rPr>
                <w:rFonts w:ascii="Arial" w:cs="Arial" w:eastAsia="Arial" w:hAnsi="Arial"/>
                <w:b/>
                <w:bCs/>
                <w:color w:val="FFFFFF"/>
                <w:sz w:val="20"/>
                <w:szCs w:val="20"/>
              </w:rPr>
              <w:t xml:space="preserve">Especificación</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Raspberry Pi 4</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Controlador principal</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Procesador ARM Cortex-A72</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GY-63 (MS5611)</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Sensor de presión, altitud y temperatura interior</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Alta precisión, I2C/SPI</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DS18B20 impermeable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Sensor de temperatura exterior real</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Protocolo 1-Wire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Cámara IMX708</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Grabación HD local</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Interfaz CSI, 4K</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Caddx Ratel 2</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Cámara FPV de transmisión en vivo</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Analog FPV</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RUSH TANK II V2 5.8G</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Transmisor de video FPV (globo)</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5.8 GHz, 25–800 mW</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Eachine ROTG02 5.8 GHz</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Receptor de video en tierra</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UVC OTG, conexión USB</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Antena Lollipop 5.8 GHz (x2)</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Transmisión FPV a bordo y en tierra</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Omnidireccional</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Módulos LoRa LA66 (x2)</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Telemetría de datos de sensores</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Long Range, 868/915 MHz</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NEO-M8N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Localización GPS</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Seguimiento en tiempo real</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SanDisk High Endurance 128 GB</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Almacenamiento local de video y datos</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MicroSD, alta durabilidad</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Energizer Ultimate Lithium (x10)</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Alimentación del sistema</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Operativo a -40°C</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StepDown XL4015</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Regulador de tensión</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Salida ajustable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Cápsula (filamento PETG)</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Protección térmica y mecánica, impresa en 3D</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Fabricación propia</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Globo de látex 48” (x4)</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Plataforma de elevación</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Alta resistencia</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Paracuías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Descenso controlado</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Nylon, aterrizaje suave</w:t>
            </w:r>
          </w:p>
        </w:tc>
      </w:tr>
    </w:tbl>
    <w:p>
      <w:pPr>
        <w:spacing w:before="200"/>
      </w:pPr>
    </w:p>
    <w:p>
      <w:pPr>
        <w:spacing w:after="80" w:before="80" w:line="360" w:lineRule="auto"/>
        <w:jc w:val="both"/>
      </w:pPr>
      <w:r>
        <w:rPr>
          <w:rFonts w:ascii="Arial" w:cs="Arial" w:eastAsia="Arial" w:hAnsi="Arial"/>
          <w:i/>
          <w:iCs/>
          <w:color w:val="555555"/>
          <w:sz w:val="20"/>
          <w:szCs w:val="20"/>
        </w:rPr>
        <w:t xml:space="preserve">Nota: La configuración final del sistema resultó de una evolución iterativa. Versiones anteriores contemplaban SSD 128 GB, receptor RaceBand Duo RD945, transmisor VTX Cana y GPS Smarttrack ST-65900; la versión actual incorpora los componentes listados arriba, actualizados conforme a criterios de costo, disponibilidad y rendimiento.</w:t>
      </w:r>
    </w:p>
    <w:p>
      <w:pPr>
        <w:pStyle w:val="Heading2"/>
        <w:spacing w:after="120" w:before="240"/>
      </w:pPr>
      <w:r>
        <w:rPr>
          <w:rFonts w:ascii="Arial" w:cs="Arial" w:eastAsia="Arial" w:hAnsi="Arial"/>
          <w:b/>
          <w:bCs/>
          <w:sz w:val="24"/>
          <w:szCs w:val="24"/>
        </w:rPr>
        <w:t xml:space="preserve">Procedimiento y Etapas</w:t>
      </w:r>
    </w:p>
    <w:p>
      <w:pPr>
        <w:spacing w:after="80" w:before="80" w:line="360" w:lineRule="auto"/>
        <w:jc w:val="both"/>
      </w:pPr>
      <w:r>
        <w:rPr>
          <w:rFonts w:ascii="Arial" w:cs="Arial" w:eastAsia="Arial" w:hAnsi="Arial"/>
          <w:sz w:val="22"/>
          <w:szCs w:val="22"/>
        </w:rPr>
        <w:t xml:space="preserve">El desarrollo del proyecto sigue la siguiente secuencia de etapas:</w:t>
      </w:r>
    </w:p>
    <w:p>
      <w:pPr>
        <w:pStyle w:val="ListParagraph"/>
        <w:numPr>
          <w:ilvl w:val="0"/>
          <w:numId w:val="2"/>
        </w:numPr>
        <w:spacing w:after="60" w:before="60" w:line="360" w:lineRule="auto"/>
      </w:pPr>
      <w:r>
        <w:rPr>
          <w:rFonts w:ascii="Arial" w:cs="Arial" w:eastAsia="Arial" w:hAnsi="Arial"/>
          <w:sz w:val="22"/>
          <w:szCs w:val="22"/>
        </w:rPr>
        <w:t xml:space="preserve">Etapa 1 — Planificación general (marzo–abril 2026): definición del alcance, estructura del equipo y requisitos del sistema.</w:t>
      </w:r>
    </w:p>
    <w:p>
      <w:pPr>
        <w:pStyle w:val="ListParagraph"/>
        <w:numPr>
          <w:ilvl w:val="0"/>
          <w:numId w:val="2"/>
        </w:numPr>
        <w:spacing w:after="60" w:before="60" w:line="360" w:lineRule="auto"/>
      </w:pPr>
      <w:r>
        <w:rPr>
          <w:rFonts w:ascii="Arial" w:cs="Arial" w:eastAsia="Arial" w:hAnsi="Arial"/>
          <w:sz w:val="22"/>
          <w:szCs w:val="22"/>
        </w:rPr>
        <w:t xml:space="preserve">Etapa 2 — Búsqueda de financiamiento (paralela): contacto con potenciales patrocinadores y solicitud de aval institucional ante autoridades aéreas.</w:t>
      </w:r>
    </w:p>
    <w:p>
      <w:pPr>
        <w:pStyle w:val="ListParagraph"/>
        <w:numPr>
          <w:ilvl w:val="0"/>
          <w:numId w:val="2"/>
        </w:numPr>
        <w:spacing w:after="60" w:before="60" w:line="360" w:lineRule="auto"/>
      </w:pPr>
      <w:r>
        <w:rPr>
          <w:rFonts w:ascii="Arial" w:cs="Arial" w:eastAsia="Arial" w:hAnsi="Arial"/>
          <w:sz w:val="22"/>
          <w:szCs w:val="22"/>
        </w:rPr>
        <w:t xml:space="preserve">Etapa 3 — Adquisición de componentes (mayo–julio 2026): compra de materiales electrónicos, de vuelo y para impresión 3D.</w:t>
      </w:r>
    </w:p>
    <w:p>
      <w:pPr>
        <w:pStyle w:val="ListParagraph"/>
        <w:numPr>
          <w:ilvl w:val="0"/>
          <w:numId w:val="2"/>
        </w:numPr>
        <w:spacing w:after="60" w:before="60" w:line="360" w:lineRule="auto"/>
      </w:pPr>
      <w:r>
        <w:rPr>
          <w:rFonts w:ascii="Arial" w:cs="Arial" w:eastAsia="Arial" w:hAnsi="Arial"/>
          <w:sz w:val="22"/>
          <w:szCs w:val="22"/>
        </w:rPr>
        <w:t xml:space="preserve">Etapa 4 — Programación, prototipado y pruebas (junio–agosto 2026): desarrollo del software embarcado, impresión y ajuste de la cápsula, pruebas funcionales.</w:t>
      </w:r>
    </w:p>
    <w:p>
      <w:pPr>
        <w:pStyle w:val="ListParagraph"/>
        <w:numPr>
          <w:ilvl w:val="0"/>
          <w:numId w:val="2"/>
        </w:numPr>
        <w:spacing w:after="60" w:before="60" w:line="360" w:lineRule="auto"/>
      </w:pPr>
      <w:r>
        <w:rPr>
          <w:rFonts w:ascii="Arial" w:cs="Arial" w:eastAsia="Arial" w:hAnsi="Arial"/>
          <w:sz w:val="22"/>
          <w:szCs w:val="22"/>
        </w:rPr>
        <w:t xml:space="preserve">Etapa 5 — Pruebas finales e integración (septiembre 2026): pruebas de vacío, estrés térmico e integración completa del sistema.</w:t>
      </w:r>
    </w:p>
    <w:p>
      <w:pPr>
        <w:pStyle w:val="ListParagraph"/>
        <w:numPr>
          <w:ilvl w:val="0"/>
          <w:numId w:val="2"/>
        </w:numPr>
        <w:spacing w:after="60" w:before="60" w:line="360" w:lineRule="auto"/>
      </w:pPr>
      <w:r>
        <w:rPr>
          <w:rFonts w:ascii="Arial" w:cs="Arial" w:eastAsia="Arial" w:hAnsi="Arial"/>
          <w:sz w:val="22"/>
          <w:szCs w:val="22"/>
        </w:rPr>
        <w:t xml:space="preserve">Etapa 6 — Lanzamiento (octubre 2026): ejecución del vuelo, monitoreo y recuperación del equipo.</w:t>
      </w:r>
    </w:p>
    <w:p>
      <w:pPr>
        <w:pStyle w:val="Heading2"/>
        <w:spacing w:after="120" w:before="240"/>
      </w:pPr>
      <w:r>
        <w:rPr>
          <w:rFonts w:ascii="Arial" w:cs="Arial" w:eastAsia="Arial" w:hAnsi="Arial"/>
          <w:b/>
          <w:bCs/>
          <w:sz w:val="24"/>
          <w:szCs w:val="24"/>
        </w:rPr>
        <w:t xml:space="preserve">Recopilación de Datos</w:t>
      </w:r>
    </w:p>
    <w:p>
      <w:pPr>
        <w:spacing w:after="80" w:before="80" w:line="360" w:lineRule="auto"/>
        <w:jc w:val="both"/>
      </w:pPr>
      <w:r>
        <w:rPr>
          <w:rFonts w:ascii="Arial" w:cs="Arial" w:eastAsia="Arial" w:hAnsi="Arial"/>
          <w:sz w:val="22"/>
          <w:szCs w:val="22"/>
        </w:rPr>
        <w:t xml:space="preserve">Se utilizan fuentes primarias: datos registrados directamente por los sensores GY-63 MS5611 (presión, temperatura interior, altitud) y DS18B20 (temperatura exterior real) durante el vuelo. El GPS NEO-M8N provee coordenadas en tiempo real. Los módulos LoRa LA66 transmiten la telemetría de sensores. Las cámaras registran el recorrido completo. Como fuentes secundarias se utilizan datos meteorológicos de organismos oficiales para la planificación del lanzamiento.</w:t>
      </w:r>
    </w:p>
    <w:p>
      <w:r>
        <w:br w:type="page"/>
      </w:r>
    </w:p>
    <w:p>
      <w:pPr>
        <w:pStyle w:val="Heading1"/>
        <w:spacing w:after="160" w:before="360"/>
      </w:pPr>
      <w:r>
        <w:rPr>
          <w:rFonts w:ascii="Arial" w:cs="Arial" w:eastAsia="Arial" w:hAnsi="Arial"/>
          <w:b/>
          <w:bCs/>
          <w:sz w:val="28"/>
          <w:szCs w:val="28"/>
        </w:rPr>
        <w:t xml:space="preserve">5. Estado de Avance del Proyecto</w:t>
      </w:r>
    </w:p>
    <w:p>
      <w:pPr>
        <w:spacing w:after="80" w:before="80" w:line="360" w:lineRule="auto"/>
        <w:jc w:val="both"/>
      </w:pPr>
      <w:r>
        <w:rPr>
          <w:rFonts w:ascii="Arial" w:cs="Arial" w:eastAsia="Arial" w:hAnsi="Arial"/>
          <w:sz w:val="22"/>
          <w:szCs w:val="22"/>
        </w:rPr>
        <w:t xml:space="preserve">A la fecha de presentación del presente informe (julio 2026), el proyecto se encuentra en fase activa de desarrollo. Se detallan los avances por área:</w:t>
      </w:r>
    </w:p>
    <w:p>
      <w:pPr>
        <w:pStyle w:val="Heading2"/>
        <w:spacing w:after="120" w:before="240"/>
      </w:pPr>
      <w:r>
        <w:rPr>
          <w:rFonts w:ascii="Arial" w:cs="Arial" w:eastAsia="Arial" w:hAnsi="Arial"/>
          <w:b/>
          <w:bCs/>
          <w:sz w:val="24"/>
          <w:szCs w:val="24"/>
        </w:rPr>
        <w:t xml:space="preserve">Sistema Electrónico y Comunicaciones</w:t>
      </w:r>
    </w:p>
    <w:p>
      <w:pPr>
        <w:pStyle w:val="ListParagraph"/>
        <w:numPr>
          <w:ilvl w:val="0"/>
          <w:numId w:val="2"/>
        </w:numPr>
        <w:spacing w:after="60" w:before="60" w:line="360" w:lineRule="auto"/>
      </w:pPr>
      <w:r>
        <w:rPr>
          <w:rFonts w:ascii="Arial" w:cs="Arial" w:eastAsia="Arial" w:hAnsi="Arial"/>
          <w:sz w:val="22"/>
          <w:szCs w:val="22"/>
        </w:rPr>
        <w:t xml:space="preserve">Selección y definición de los componentes electrónicos finales del sistema (actualizados respecto a versiones anteriores).</w:t>
      </w:r>
    </w:p>
    <w:p>
      <w:pPr>
        <w:pStyle w:val="ListParagraph"/>
        <w:numPr>
          <w:ilvl w:val="0"/>
          <w:numId w:val="2"/>
        </w:numPr>
        <w:spacing w:after="60" w:before="60" w:line="360" w:lineRule="auto"/>
      </w:pPr>
      <w:r>
        <w:rPr>
          <w:rFonts w:ascii="Arial" w:cs="Arial" w:eastAsia="Arial" w:hAnsi="Arial"/>
          <w:sz w:val="22"/>
          <w:szCs w:val="22"/>
        </w:rPr>
        <w:t xml:space="preserve">Elaboración del diagrama de circuito completo del sistema embarcado, incluyendo conexiones entre Raspberry Pi 4, sensores, cámaras, transmisor RUSH TANK II V2, módulos LoRa y GPS NEO-M8N.</w:t>
      </w:r>
    </w:p>
    <w:p>
      <w:pPr>
        <w:pStyle w:val="ListParagraph"/>
        <w:numPr>
          <w:ilvl w:val="0"/>
          <w:numId w:val="2"/>
        </w:numPr>
        <w:spacing w:after="60" w:before="60" w:line="360" w:lineRule="auto"/>
      </w:pPr>
      <w:r>
        <w:rPr>
          <w:rFonts w:ascii="Arial" w:cs="Arial" w:eastAsia="Arial" w:hAnsi="Arial"/>
          <w:sz w:val="22"/>
          <w:szCs w:val="22"/>
        </w:rPr>
        <w:t xml:space="preserve">Investigación de conexiones y primeras pruebas de programación en Python para la adquisición y almacenamiento de datos de sensores.</w:t>
      </w:r>
    </w:p>
    <w:p>
      <w:pPr>
        <w:pStyle w:val="ListParagraph"/>
        <w:numPr>
          <w:ilvl w:val="0"/>
          <w:numId w:val="2"/>
        </w:numPr>
        <w:spacing w:after="60" w:before="60" w:line="360" w:lineRule="auto"/>
      </w:pPr>
      <w:r>
        <w:rPr>
          <w:rFonts w:ascii="Arial" w:cs="Arial" w:eastAsia="Arial" w:hAnsi="Arial"/>
          <w:sz w:val="22"/>
          <w:szCs w:val="22"/>
        </w:rPr>
        <w:t xml:space="preserve">Búsqueda de simuladores virtuales del sistema; identificación de limitaciones en herramientas disponibles.</w:t>
      </w:r>
    </w:p>
    <w:p>
      <w:pPr>
        <w:pStyle w:val="ListParagraph"/>
        <w:numPr>
          <w:ilvl w:val="0"/>
          <w:numId w:val="2"/>
        </w:numPr>
        <w:spacing w:after="60" w:before="60" w:line="360" w:lineRule="auto"/>
      </w:pPr>
      <w:r>
        <w:rPr>
          <w:rFonts w:ascii="Arial" w:cs="Arial" w:eastAsia="Arial" w:hAnsi="Arial"/>
          <w:sz w:val="22"/>
          <w:szCs w:val="22"/>
        </w:rPr>
        <w:t xml:space="preserve">Presupuesto actualizado: total estimado de $1.313.898 ARS con envíos (ver sección 6).</w:t>
      </w:r>
    </w:p>
    <w:p>
      <w:pPr>
        <w:pStyle w:val="Heading2"/>
        <w:spacing w:after="120" w:before="240"/>
      </w:pPr>
      <w:r>
        <w:rPr>
          <w:rFonts w:ascii="Arial" w:cs="Arial" w:eastAsia="Arial" w:hAnsi="Arial"/>
          <w:b/>
          <w:bCs/>
          <w:sz w:val="24"/>
          <w:szCs w:val="24"/>
        </w:rPr>
        <w:t xml:space="preserve">Diseño y Prototipado de la Cápsula</w:t>
      </w:r>
    </w:p>
    <w:p>
      <w:pPr>
        <w:pStyle w:val="ListParagraph"/>
        <w:numPr>
          <w:ilvl w:val="0"/>
          <w:numId w:val="2"/>
        </w:numPr>
        <w:spacing w:after="60" w:before="60" w:line="360" w:lineRule="auto"/>
      </w:pPr>
      <w:r>
        <w:rPr>
          <w:rFonts w:ascii="Arial" w:cs="Arial" w:eastAsia="Arial" w:hAnsi="Arial"/>
          <w:sz w:val="22"/>
          <w:szCs w:val="22"/>
        </w:rPr>
        <w:t xml:space="preserve">Confirmación del uso de filamento PETG para la impresión 3D de la cápsula, por sus propiedades térmicas y mecánicas superiores al PLA.</w:t>
      </w:r>
    </w:p>
    <w:p>
      <w:pPr>
        <w:pStyle w:val="ListParagraph"/>
        <w:numPr>
          <w:ilvl w:val="0"/>
          <w:numId w:val="2"/>
        </w:numPr>
        <w:spacing w:after="60" w:before="60" w:line="360" w:lineRule="auto"/>
      </w:pPr>
      <w:r>
        <w:rPr>
          <w:rFonts w:ascii="Arial" w:cs="Arial" w:eastAsia="Arial" w:hAnsi="Arial"/>
          <w:sz w:val="22"/>
          <w:szCs w:val="22"/>
        </w:rPr>
        <w:t xml:space="preserve">Impresión de una primera versión prototipo de la cápsula (22/04/2026) mediante las impresoras 3D de la escuela, que permitió evaluar dimensiones, distribución interna y posibles mejoras.</w:t>
      </w:r>
    </w:p>
    <w:p>
      <w:pPr>
        <w:pStyle w:val="ListParagraph"/>
        <w:numPr>
          <w:ilvl w:val="0"/>
          <w:numId w:val="2"/>
        </w:numPr>
        <w:spacing w:after="60" w:before="60" w:line="360" w:lineRule="auto"/>
      </w:pPr>
      <w:r>
        <w:rPr>
          <w:rFonts w:ascii="Arial" w:cs="Arial" w:eastAsia="Arial" w:hAnsi="Arial"/>
          <w:sz w:val="22"/>
          <w:szCs w:val="22"/>
        </w:rPr>
        <w:t xml:space="preserve">Diseño y trabajo en curso de una segunda versión de la cápsula con mayor nivel de detalle y calidad, enfocada en optimizar la resistencia y la integración de componentes.</w:t>
      </w:r>
    </w:p>
    <w:p>
      <w:pPr>
        <w:pStyle w:val="ListParagraph"/>
        <w:numPr>
          <w:ilvl w:val="0"/>
          <w:numId w:val="2"/>
        </w:numPr>
        <w:spacing w:after="60" w:before="60" w:line="360" w:lineRule="auto"/>
      </w:pPr>
      <w:r>
        <w:rPr>
          <w:rFonts w:ascii="Arial" w:cs="Arial" w:eastAsia="Arial" w:hAnsi="Arial"/>
          <w:sz w:val="22"/>
          <w:szCs w:val="22"/>
        </w:rPr>
        <w:t xml:space="preserve">Confirmación del uso de caja de poliestireno como aislante térmico para los componentes electrónicos.</w:t>
      </w:r>
    </w:p>
    <w:p>
      <w:pPr>
        <w:pStyle w:val="Heading2"/>
        <w:spacing w:after="120" w:before="240"/>
      </w:pPr>
      <w:r>
        <w:rPr>
          <w:rFonts w:ascii="Arial" w:cs="Arial" w:eastAsia="Arial" w:hAnsi="Arial"/>
          <w:b/>
          <w:bCs/>
          <w:sz w:val="24"/>
          <w:szCs w:val="24"/>
        </w:rPr>
        <w:t xml:space="preserve">Vuelo y Gestión Aeronáutica</w:t>
      </w:r>
    </w:p>
    <w:p>
      <w:pPr>
        <w:pStyle w:val="ListParagraph"/>
        <w:numPr>
          <w:ilvl w:val="0"/>
          <w:numId w:val="2"/>
        </w:numPr>
        <w:spacing w:after="60" w:before="60" w:line="360" w:lineRule="auto"/>
      </w:pPr>
      <w:r>
        <w:rPr>
          <w:rFonts w:ascii="Arial" w:cs="Arial" w:eastAsia="Arial" w:hAnsi="Arial"/>
          <w:sz w:val="22"/>
          <w:szCs w:val="22"/>
        </w:rPr>
        <w:t xml:space="preserve">Cálculos de vuelo completados: tiempo de ascenso (1 h 46 min), descenso (1 h 40 min), tiempo total (3 h 26 min) y desplazamiento horizontal estimado (~151,6 km).</w:t>
      </w:r>
    </w:p>
    <w:p>
      <w:pPr>
        <w:pStyle w:val="ListParagraph"/>
        <w:numPr>
          <w:ilvl w:val="0"/>
          <w:numId w:val="2"/>
        </w:numPr>
        <w:spacing w:after="60" w:before="60" w:line="360" w:lineRule="auto"/>
      </w:pPr>
      <w:r>
        <w:rPr>
          <w:rFonts w:ascii="Arial" w:cs="Arial" w:eastAsia="Arial" w:hAnsi="Arial"/>
          <w:sz w:val="22"/>
          <w:szCs w:val="22"/>
        </w:rPr>
        <w:t xml:space="preserve">Investigación y estudio de las capas de la atmósfera y sus características en relación al vuelo del globo.</w:t>
      </w:r>
    </w:p>
    <w:p>
      <w:pPr>
        <w:pStyle w:val="ListParagraph"/>
        <w:numPr>
          <w:ilvl w:val="0"/>
          <w:numId w:val="2"/>
        </w:numPr>
        <w:spacing w:after="60" w:before="60" w:line="360" w:lineRule="auto"/>
      </w:pPr>
      <w:r>
        <w:rPr>
          <w:rFonts w:ascii="Arial" w:cs="Arial" w:eastAsia="Arial" w:hAnsi="Arial"/>
          <w:sz w:val="22"/>
          <w:szCs w:val="22"/>
        </w:rPr>
        <w:t xml:space="preserve">Definición del sistema de recuperación: GPS NEO-M8N para rastreo; recuperación en vehículo docente hacia la zona de aterrizaje.</w:t>
      </w:r>
    </w:p>
    <w:p>
      <w:pPr>
        <w:pStyle w:val="ListParagraph"/>
        <w:numPr>
          <w:ilvl w:val="0"/>
          <w:numId w:val="2"/>
        </w:numPr>
        <w:spacing w:after="60" w:before="60" w:line="360" w:lineRule="auto"/>
      </w:pPr>
      <w:r>
        <w:rPr>
          <w:rFonts w:ascii="Arial" w:cs="Arial" w:eastAsia="Arial" w:hAnsi="Arial"/>
          <w:sz w:val="22"/>
          <w:szCs w:val="22"/>
        </w:rPr>
        <w:t xml:space="preserve">Inicio de gestiones formales ante el aeródromo local de Olavarría y la firma Aviación Agrícola Argentina S.A. de Azul, mediante una Propuesta Técnica y Solicitud de Aval Institucional.</w:t>
      </w:r>
    </w:p>
    <w:p>
      <w:pPr>
        <w:pStyle w:val="ListParagraph"/>
        <w:numPr>
          <w:ilvl w:val="0"/>
          <w:numId w:val="2"/>
        </w:numPr>
        <w:spacing w:after="60" w:before="60" w:line="360" w:lineRule="auto"/>
      </w:pPr>
      <w:r>
        <w:rPr>
          <w:rFonts w:ascii="Arial" w:cs="Arial" w:eastAsia="Arial" w:hAnsi="Arial"/>
          <w:sz w:val="22"/>
          <w:szCs w:val="22"/>
        </w:rPr>
        <w:t xml:space="preserve">Lectura y análisis de la RAAC Parte 32 (Resolución ANAC N° 550/2025) para el encuadre legal del lanzamiento.</w:t>
      </w:r>
    </w:p>
    <w:p>
      <w:pPr>
        <w:pStyle w:val="Heading2"/>
        <w:spacing w:after="120" w:before="240"/>
      </w:pPr>
      <w:r>
        <w:rPr>
          <w:rFonts w:ascii="Arial" w:cs="Arial" w:eastAsia="Arial" w:hAnsi="Arial"/>
          <w:b/>
          <w:bCs/>
          <w:sz w:val="24"/>
          <w:szCs w:val="24"/>
        </w:rPr>
        <w:t xml:space="preserve">Redes Sociales y Patrocinadores</w:t>
      </w:r>
    </w:p>
    <w:p>
      <w:pPr>
        <w:pStyle w:val="ListParagraph"/>
        <w:numPr>
          <w:ilvl w:val="0"/>
          <w:numId w:val="2"/>
        </w:numPr>
        <w:spacing w:after="60" w:before="60" w:line="360" w:lineRule="auto"/>
      </w:pPr>
      <w:r>
        <w:rPr>
          <w:rFonts w:ascii="Arial" w:cs="Arial" w:eastAsia="Arial" w:hAnsi="Arial"/>
          <w:sz w:val="22"/>
          <w:szCs w:val="22"/>
        </w:rPr>
        <w:t xml:space="preserve">Solicitud de autorización institucional para iniciar la búsqueda de patrocinadores ante el director de la EEST N°2.</w:t>
      </w:r>
    </w:p>
    <w:p>
      <w:pPr>
        <w:pStyle w:val="ListParagraph"/>
        <w:numPr>
          <w:ilvl w:val="0"/>
          <w:numId w:val="2"/>
        </w:numPr>
        <w:spacing w:after="60" w:before="60" w:line="360" w:lineRule="auto"/>
      </w:pPr>
      <w:r>
        <w:rPr>
          <w:rFonts w:ascii="Arial" w:cs="Arial" w:eastAsia="Arial" w:hAnsi="Arial"/>
          <w:sz w:val="22"/>
          <w:szCs w:val="22"/>
        </w:rPr>
        <w:t xml:space="preserve">Definición de la estrategia de difusión en plataformas digitales para el seguimiento del proyecto.</w:t>
      </w:r>
    </w:p>
    <w:p>
      <w:r>
        <w:br w:type="page"/>
      </w:r>
    </w:p>
    <w:p>
      <w:pPr>
        <w:pStyle w:val="Heading1"/>
        <w:spacing w:after="160" w:before="360"/>
      </w:pPr>
      <w:r>
        <w:rPr>
          <w:rFonts w:ascii="Arial" w:cs="Arial" w:eastAsia="Arial" w:hAnsi="Arial"/>
          <w:b/>
          <w:bCs/>
          <w:sz w:val="28"/>
          <w:szCs w:val="28"/>
        </w:rPr>
        <w:t xml:space="preserve">6. Producto Tecnológico</w:t>
      </w:r>
    </w:p>
    <w:p>
      <w:pPr>
        <w:spacing w:after="80" w:before="80" w:line="360" w:lineRule="auto"/>
        <w:jc w:val="both"/>
      </w:pPr>
      <w:r>
        <w:rPr>
          <w:rFonts w:ascii="Arial" w:cs="Arial" w:eastAsia="Arial" w:hAnsi="Arial"/>
          <w:sz w:val="22"/>
          <w:szCs w:val="22"/>
        </w:rPr>
        <w:t xml:space="preserve">El producto tecnológico resultante del Proyecto Stella ST es un globo sonda instrumentado de fabricación propia, compuesto por subsistemas integrados bajo el control de una Raspberry Pi 4.</w:t>
      </w:r>
    </w:p>
    <w:p>
      <w:pPr>
        <w:pStyle w:val="Heading2"/>
        <w:spacing w:after="120" w:before="240"/>
      </w:pPr>
      <w:r>
        <w:rPr>
          <w:rFonts w:ascii="Arial" w:cs="Arial" w:eastAsia="Arial" w:hAnsi="Arial"/>
          <w:b/>
          <w:bCs/>
          <w:sz w:val="24"/>
          <w:szCs w:val="24"/>
        </w:rPr>
        <w:t xml:space="preserve">Descripción del Sistema</w:t>
      </w:r>
    </w:p>
    <w:p>
      <w:pPr>
        <w:spacing w:after="80" w:before="80" w:line="360" w:lineRule="auto"/>
        <w:jc w:val="both"/>
      </w:pPr>
      <w:r>
        <w:rPr>
          <w:rFonts w:ascii="Arial" w:cs="Arial" w:eastAsia="Arial" w:hAnsi="Arial"/>
          <w:sz w:val="22"/>
          <w:szCs w:val="22"/>
        </w:rPr>
        <w:t xml:space="preserve">Al momento del lanzamiento, la Raspberry Pi 4 inicia automáticamente la adquisición de datos de los sensores y la grabación de video. La cámara FPV Caddx Ratel 2 transmite en vivo vía el transmisor RUSH TANK II V2 5.8G hacia el receptor Eachine ROTG02 en tierra. Los módulos LoRa LA66 transmiten la telemetría de sensores. El GPS NEO-M8N envía coordenadas para el seguimiento. Toda la información queda almacenada localmente en la tarjeta SanDisk High Endurance 128 GB. Al producirse la ruptura del globo en la estrátosfera, el paracuías se despliega y el equipo desciende hasta tierra, donde es recuperado siguiendo las coordenadas GPS.</w:t>
      </w:r>
    </w:p>
    <w:p>
      <w:pPr>
        <w:pStyle w:val="Heading2"/>
        <w:spacing w:after="120" w:before="240"/>
      </w:pPr>
      <w:r>
        <w:rPr>
          <w:rFonts w:ascii="Arial" w:cs="Arial" w:eastAsia="Arial" w:hAnsi="Arial"/>
          <w:b/>
          <w:bCs/>
          <w:sz w:val="24"/>
          <w:szCs w:val="24"/>
        </w:rPr>
        <w:t xml:space="preserve">Subsistemas del Producto</w:t>
      </w:r>
    </w:p>
    <w:p>
      <w:pPr>
        <w:pStyle w:val="ListParagraph"/>
        <w:numPr>
          <w:ilvl w:val="0"/>
          <w:numId w:val="2"/>
        </w:numPr>
        <w:spacing w:after="60" w:before="60" w:line="360" w:lineRule="auto"/>
      </w:pPr>
      <w:r>
        <w:rPr>
          <w:rFonts w:ascii="Arial" w:cs="Arial" w:eastAsia="Arial" w:hAnsi="Arial"/>
          <w:sz w:val="22"/>
          <w:szCs w:val="22"/>
        </w:rPr>
        <w:t xml:space="preserve">Subsistema de adquisición de datos: sensor GY-63 MS5611 (presión/altitud/temperatura interior) y DS18B20 (temperatura exterior), controlados por Raspberry Pi 4.</w:t>
      </w:r>
    </w:p>
    <w:p>
      <w:pPr>
        <w:pStyle w:val="ListParagraph"/>
        <w:numPr>
          <w:ilvl w:val="0"/>
          <w:numId w:val="2"/>
        </w:numPr>
        <w:spacing w:after="60" w:before="60" w:line="360" w:lineRule="auto"/>
      </w:pPr>
      <w:r>
        <w:rPr>
          <w:rFonts w:ascii="Arial" w:cs="Arial" w:eastAsia="Arial" w:hAnsi="Arial"/>
          <w:sz w:val="22"/>
          <w:szCs w:val="22"/>
        </w:rPr>
        <w:t xml:space="preserve">Subsistema de captura visual: cámara IMX708 para grabación en alta definición local.</w:t>
      </w:r>
    </w:p>
    <w:p>
      <w:pPr>
        <w:pStyle w:val="ListParagraph"/>
        <w:numPr>
          <w:ilvl w:val="0"/>
          <w:numId w:val="2"/>
        </w:numPr>
        <w:spacing w:after="60" w:before="60" w:line="360" w:lineRule="auto"/>
      </w:pPr>
      <w:r>
        <w:rPr>
          <w:rFonts w:ascii="Arial" w:cs="Arial" w:eastAsia="Arial" w:hAnsi="Arial"/>
          <w:sz w:val="22"/>
          <w:szCs w:val="22"/>
        </w:rPr>
        <w:t xml:space="preserve">Subsistema de transmisión FPV: Caddx Ratel 2 + RUSH TANK II V2 5.8G + antenas Lollipop 5.8 GHz / Receptor Eachine ROTG02.</w:t>
      </w:r>
    </w:p>
    <w:p>
      <w:pPr>
        <w:pStyle w:val="ListParagraph"/>
        <w:numPr>
          <w:ilvl w:val="0"/>
          <w:numId w:val="2"/>
        </w:numPr>
        <w:spacing w:after="60" w:before="60" w:line="360" w:lineRule="auto"/>
      </w:pPr>
      <w:r>
        <w:rPr>
          <w:rFonts w:ascii="Arial" w:cs="Arial" w:eastAsia="Arial" w:hAnsi="Arial"/>
          <w:sz w:val="22"/>
          <w:szCs w:val="22"/>
        </w:rPr>
        <w:t xml:space="preserve">Subsistema de telemetría de datos: módulos LoRa LA66 (x2) para transmisión de datos de sensores.</w:t>
      </w:r>
    </w:p>
    <w:p>
      <w:pPr>
        <w:pStyle w:val="ListParagraph"/>
        <w:numPr>
          <w:ilvl w:val="0"/>
          <w:numId w:val="2"/>
        </w:numPr>
        <w:spacing w:after="60" w:before="60" w:line="360" w:lineRule="auto"/>
      </w:pPr>
      <w:r>
        <w:rPr>
          <w:rFonts w:ascii="Arial" w:cs="Arial" w:eastAsia="Arial" w:hAnsi="Arial"/>
          <w:sz w:val="22"/>
          <w:szCs w:val="22"/>
        </w:rPr>
        <w:t xml:space="preserve">Subsistema de localización: GPS NEO-M8N para rastreo en tiempo real.</w:t>
      </w:r>
    </w:p>
    <w:p>
      <w:pPr>
        <w:pStyle w:val="ListParagraph"/>
        <w:numPr>
          <w:ilvl w:val="0"/>
          <w:numId w:val="2"/>
        </w:numPr>
        <w:spacing w:after="60" w:before="60" w:line="360" w:lineRule="auto"/>
      </w:pPr>
      <w:r>
        <w:rPr>
          <w:rFonts w:ascii="Arial" w:cs="Arial" w:eastAsia="Arial" w:hAnsi="Arial"/>
          <w:sz w:val="22"/>
          <w:szCs w:val="22"/>
        </w:rPr>
        <w:t xml:space="preserve">Subsistema de almacenamiento: tarjeta SanDisk High Endurance microSD 128 GB.</w:t>
      </w:r>
    </w:p>
    <w:p>
      <w:pPr>
        <w:pStyle w:val="ListParagraph"/>
        <w:numPr>
          <w:ilvl w:val="0"/>
          <w:numId w:val="2"/>
        </w:numPr>
        <w:spacing w:after="60" w:before="60" w:line="360" w:lineRule="auto"/>
      </w:pPr>
      <w:r>
        <w:rPr>
          <w:rFonts w:ascii="Arial" w:cs="Arial" w:eastAsia="Arial" w:hAnsi="Arial"/>
          <w:sz w:val="22"/>
          <w:szCs w:val="22"/>
        </w:rPr>
        <w:t xml:space="preserve">Subsistema de alimentación: 10 baterías Energizer Ultimate Lithium (en serie, ~15V) + regulador StepDown XL4015 para adaptación de voltaje.</w:t>
      </w:r>
    </w:p>
    <w:p>
      <w:pPr>
        <w:pStyle w:val="ListParagraph"/>
        <w:numPr>
          <w:ilvl w:val="0"/>
          <w:numId w:val="2"/>
        </w:numPr>
        <w:spacing w:after="60" w:before="60" w:line="360" w:lineRule="auto"/>
      </w:pPr>
      <w:r>
        <w:rPr>
          <w:rFonts w:ascii="Arial" w:cs="Arial" w:eastAsia="Arial" w:hAnsi="Arial"/>
          <w:sz w:val="22"/>
          <w:szCs w:val="22"/>
        </w:rPr>
        <w:t xml:space="preserve">Cápsula de protección: diseñada e impresa en 3D con filamento PETG en los laboratorios de la escuela, con protección térmica de poliestireno.</w:t>
      </w:r>
    </w:p>
    <w:p>
      <w:pPr>
        <w:pStyle w:val="ListParagraph"/>
        <w:numPr>
          <w:ilvl w:val="0"/>
          <w:numId w:val="2"/>
        </w:numPr>
        <w:spacing w:after="60" w:before="60" w:line="360" w:lineRule="auto"/>
      </w:pPr>
      <w:r>
        <w:rPr>
          <w:rFonts w:ascii="Arial" w:cs="Arial" w:eastAsia="Arial" w:hAnsi="Arial"/>
          <w:sz w:val="22"/>
          <w:szCs w:val="22"/>
        </w:rPr>
        <w:t xml:space="preserve">Sistema de recuperación: paracuías de nylon para descenso controlado.</w:t>
      </w:r>
    </w:p>
    <w:p>
      <w:pPr>
        <w:pStyle w:val="Heading2"/>
        <w:spacing w:after="120" w:before="240"/>
      </w:pPr>
      <w:r>
        <w:rPr>
          <w:rFonts w:ascii="Arial" w:cs="Arial" w:eastAsia="Arial" w:hAnsi="Arial"/>
          <w:b/>
          <w:bCs/>
          <w:sz w:val="24"/>
          <w:szCs w:val="24"/>
        </w:rPr>
        <w:t xml:space="preserve">Presupuesto Actualizado</w:t>
      </w:r>
    </w:p>
    <w:p>
      <w:pPr>
        <w:spacing w:after="80" w:before="80" w:line="360" w:lineRule="auto"/>
        <w:jc w:val="both"/>
      </w:pPr>
      <w:r>
        <w:rPr>
          <w:rFonts w:ascii="Arial" w:cs="Arial" w:eastAsia="Arial" w:hAnsi="Arial"/>
          <w:sz w:val="22"/>
          <w:szCs w:val="22"/>
        </w:rPr>
        <w:t xml:space="preserve">El siguiente presupuesto refleja la configuración final del sistema al 8 de julio de 2026 (fuente: hoja de presupuesto del equipo de Comunicaciones):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2826"/>
      </w:tblGrid>
      <w:tr>
        <w:trPr>
          <w:tblHeader/>
        </w:trPr>
        <w:tc>
          <w:tcPr>
            <w:tcW w:type="dxa" w:w="2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spacing w:line="300" w:lineRule="auto"/>
              <w:jc w:val="left"/>
            </w:pPr>
            <w:r>
              <w:rPr>
                <w:rFonts w:ascii="Arial" w:cs="Arial" w:eastAsia="Arial" w:hAnsi="Arial"/>
                <w:b/>
                <w:bCs/>
                <w:color w:val="FFFFFF"/>
                <w:sz w:val="20"/>
                <w:szCs w:val="20"/>
              </w:rPr>
              <w:t xml:space="preserve">Componente</w:t>
            </w:r>
          </w:p>
        </w:tc>
        <w:tc>
          <w:tcPr>
            <w:tcW w:type="dxa" w:w="18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spacing w:line="300" w:lineRule="auto"/>
              <w:jc w:val="left"/>
            </w:pPr>
            <w:r>
              <w:rPr>
                <w:rFonts w:ascii="Arial" w:cs="Arial" w:eastAsia="Arial" w:hAnsi="Arial"/>
                <w:b/>
                <w:bCs/>
                <w:color w:val="FFFFFF"/>
                <w:sz w:val="20"/>
                <w:szCs w:val="20"/>
              </w:rPr>
              <w:t xml:space="preserve">Precio</w:t>
            </w:r>
          </w:p>
        </w:tc>
        <w:tc>
          <w:tcPr>
            <w:tcW w:type="dxa" w:w="16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spacing w:line="300" w:lineRule="auto"/>
              <w:jc w:val="left"/>
            </w:pPr>
            <w:r>
              <w:rPr>
                <w:rFonts w:ascii="Arial" w:cs="Arial" w:eastAsia="Arial" w:hAnsi="Arial"/>
                <w:b/>
                <w:bCs/>
                <w:color w:val="FFFFFF"/>
                <w:sz w:val="20"/>
                <w:szCs w:val="20"/>
              </w:rPr>
              <w:t xml:space="preserve">Envío</w:t>
            </w:r>
          </w:p>
        </w:tc>
        <w:tc>
          <w:tcPr>
            <w:tcW w:type="dxa" w:w="2826"/>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spacing w:line="300" w:lineRule="auto"/>
              <w:jc w:val="left"/>
            </w:pPr>
            <w:r>
              <w:rPr>
                <w:rFonts w:ascii="Arial" w:cs="Arial" w:eastAsia="Arial" w:hAnsi="Arial"/>
                <w:b/>
                <w:bCs/>
                <w:color w:val="FFFFFF"/>
                <w:sz w:val="20"/>
                <w:szCs w:val="20"/>
              </w:rPr>
              <w:t xml:space="preserve">Proveedor</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Caddx Ratel 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$82.885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$20.000</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Mercado Libre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IMX708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$109.180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$20.000</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Mercado Libre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StepDown XL4015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$4.990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$13.000</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Mercado Libre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Energizer Ult. Lithium (x10)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$77.500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Gratis</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Mercado Libre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DS18B20 impermeable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$4.278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$13.000</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Mercado Libre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GY-63 (MS5611)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$17.753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$20.000</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Mercado Libre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SanDisk High Endurance 128 GB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$114.500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Gratis</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Mercado Libre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NEO-M8N (GPS)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$24.490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$13.000</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Mercado Libre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Módulos LoRa LA66 (x2)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$103.988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$13.109</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Aliexpress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Antenas Lollipop 5.8 GHz (x2)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$133.600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Gratis</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Mercado Libre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RUSH TANK II V2 5.8G (transmisor)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$89.526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$8.944</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Aliexpress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Eachine ROTG02 (receptor tierra)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$74.382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Gratis</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Banggood</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Globo de látex 48” (x4)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$63.204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$20.000</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Mercado Libre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Paracuías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$31.240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$44.629</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Launch Lab Rocketry</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Helio (inflado)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$55.000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Cotillón Olavarría</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Filamento PETG (5 kg)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$85.400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Gratis</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PrintaLot</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ChatGPT (suscripción mensual)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$30.000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CapCut (edición de video)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$26.300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w:t>
            </w:r>
          </w:p>
        </w:tc>
      </w:tr>
    </w:tbl>
    <w:p>
      <w:pPr>
        <w:spacing w:before="120"/>
      </w:pPr>
    </w:p>
    <w:p>
      <w:pPr>
        <w:spacing w:after="80" w:before="80" w:line="360" w:lineRule="auto"/>
      </w:pPr>
      <w:r>
        <w:rPr>
          <w:rFonts w:ascii="Arial" w:cs="Arial" w:eastAsia="Arial" w:hAnsi="Arial"/>
          <w:b/>
          <w:bCs/>
          <w:sz w:val="22"/>
          <w:szCs w:val="22"/>
        </w:rPr>
        <w:t xml:space="preserve">Total sin envíos: </w:t>
      </w:r>
      <w:r>
        <w:rPr>
          <w:rFonts w:ascii="Arial" w:cs="Arial" w:eastAsia="Arial" w:hAnsi="Arial"/>
          <w:sz w:val="22"/>
          <w:szCs w:val="22"/>
        </w:rPr>
        <w:t xml:space="preserve">$1.128.216 ARS</w:t>
      </w:r>
      <w:r>
        <w:rPr>
          <w:rFonts w:ascii="Arial" w:cs="Arial" w:eastAsia="Arial" w:hAnsi="Arial"/>
          <w:b/>
          <w:bCs/>
          <w:sz w:val="22"/>
          <w:szCs w:val="22"/>
        </w:rPr>
        <w:t xml:space="preserve">    |    Total con envíos: </w:t>
      </w:r>
      <w:r>
        <w:rPr>
          <w:rFonts w:ascii="Arial" w:cs="Arial" w:eastAsia="Arial" w:hAnsi="Arial"/>
          <w:sz w:val="22"/>
          <w:szCs w:val="22"/>
        </w:rPr>
        <w:t xml:space="preserve">$1.313.898 ARS</w:t>
      </w:r>
    </w:p>
    <w:p>
      <w:pPr>
        <w:spacing w:after="80" w:before="80" w:line="360" w:lineRule="auto"/>
        <w:jc w:val="both"/>
      </w:pPr>
      <w:r>
        <w:rPr>
          <w:rFonts w:ascii="Arial" w:cs="Arial" w:eastAsia="Arial" w:hAnsi="Arial"/>
          <w:i/>
          <w:iCs/>
          <w:color w:val="555555"/>
          <w:sz w:val="20"/>
          <w:szCs w:val="20"/>
        </w:rPr>
        <w:t xml:space="preserve">Notas: Los envíos internacionales son gratuitos superando $33.000 en compra conjunta. Algunos envíos podrían reducirse comprando en proveedores locales. Precios aproximados, sujetos a variación.</w:t>
      </w:r>
    </w:p>
    <w:p>
      <w:pPr>
        <w:pStyle w:val="Heading2"/>
        <w:spacing w:after="120" w:before="240"/>
      </w:pPr>
      <w:r>
        <w:rPr>
          <w:rFonts w:ascii="Arial" w:cs="Arial" w:eastAsia="Arial" w:hAnsi="Arial"/>
          <w:b/>
          <w:bCs/>
          <w:sz w:val="24"/>
          <w:szCs w:val="24"/>
        </w:rPr>
        <w:t xml:space="preserve">Gestión de Riesgos del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spacing w:line="300" w:lineRule="auto"/>
              <w:jc w:val="left"/>
            </w:pPr>
            <w:r>
              <w:rPr>
                <w:rFonts w:ascii="Arial" w:cs="Arial" w:eastAsia="Arial" w:hAnsi="Arial"/>
                <w:b/>
                <w:bCs/>
                <w:color w:val="FFFFFF"/>
                <w:sz w:val="20"/>
                <w:szCs w:val="20"/>
              </w:rPr>
              <w:t xml:space="preserve">Riesgo</w:t>
            </w:r>
          </w:p>
        </w:tc>
        <w:tc>
          <w:tcPr>
            <w:tcW w:type="dxa" w:w="3400"/>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spacing w:line="300" w:lineRule="auto"/>
              <w:jc w:val="left"/>
            </w:pPr>
            <w:r>
              <w:rPr>
                <w:rFonts w:ascii="Arial" w:cs="Arial" w:eastAsia="Arial" w:hAnsi="Arial"/>
                <w:b/>
                <w:bCs/>
                <w:color w:val="FFFFFF"/>
                <w:sz w:val="20"/>
                <w:szCs w:val="20"/>
              </w:rPr>
              <w:t xml:space="preserve">Descripción</w:t>
            </w:r>
          </w:p>
        </w:tc>
        <w:tc>
          <w:tcPr>
            <w:tcW w:type="dxa" w:w="3626"/>
            <w:tcBorders>
              <w:top w:val="single" w:color="2E75B6" w:sz="4"/>
              <w:left w:val="single" w:color="2E75B6" w:sz="4"/>
              <w:bottom w:val="single" w:color="2E75B6" w:sz="4"/>
              <w:right w:val="single" w:color="2E75B6" w:sz="4"/>
            </w:tcBorders>
            <w:shd w:fill="1F4E79" w:val="clear"/>
            <w:tcMar>
              <w:top w:type="dxa" w:w="80"/>
              <w:left w:type="dxa" w:w="120"/>
              <w:bottom w:type="dxa" w:w="80"/>
              <w:right w:type="dxa" w:w="120"/>
            </w:tcMar>
            <w:vAlign w:val="center"/>
          </w:tcPr>
          <w:p>
            <w:pPr>
              <w:spacing w:line="300" w:lineRule="auto"/>
              <w:jc w:val="left"/>
            </w:pPr>
            <w:r>
              <w:rPr>
                <w:rFonts w:ascii="Arial" w:cs="Arial" w:eastAsia="Arial" w:hAnsi="Arial"/>
                <w:b/>
                <w:bCs/>
                <w:color w:val="FFFFFF"/>
                <w:sz w:val="20"/>
                <w:szCs w:val="20"/>
              </w:rPr>
              <w:t xml:space="preserve">Medida de Mitigación</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Meteorológico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Viento &gt;20–25 km/h, tormentas</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Análisis previo; vuelo solo con condiciones estables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Sobre inflado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Ruptura prematura del globo</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Cálculo preciso del volumen de helio (5,45 m³)</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Fallo electrónico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Pérdida de datos o función</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Pruebas exhaustivas previas; almacenamiento local en microSD</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Térmico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Daño por bajas temperaturas (-60°C)</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Cápsula PETG + aislante de poliestireno + baterías certificadas a -40°C</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Pérdida del equipo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Aterrizaje en zona inaccesible</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GPS NEO-M8N activo; monitoreo de trayectoria</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Rotación de la cápsula</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Imágenes inestables</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Balance óptimo de peso en diseño de cápsula</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Paracuías defectuoso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Descenso brusco</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line="300" w:lineRule="auto"/>
              <w:jc w:val="left"/>
            </w:pPr>
            <w:r>
              <w:rPr>
                <w:rFonts w:ascii="Arial" w:cs="Arial" w:eastAsia="Arial" w:hAnsi="Arial"/>
                <w:b w:val="false"/>
                <w:bCs w:val="false"/>
                <w:color w:val="000000"/>
                <w:sz w:val="20"/>
                <w:szCs w:val="20"/>
              </w:rPr>
              <w:t xml:space="preserve">Revisión previa; plegado correcto</w:t>
            </w:r>
          </w:p>
        </w:tc>
      </w:tr>
    </w:tbl>
    <w:p>
      <w:pPr>
        <w:spacing w:before="200"/>
      </w:pPr>
    </w:p>
    <w:p>
      <w:r>
        <w:br w:type="page"/>
      </w:r>
    </w:p>
    <w:p>
      <w:pPr>
        <w:pStyle w:val="Heading1"/>
        <w:spacing w:after="160" w:before="360"/>
      </w:pPr>
      <w:r>
        <w:rPr>
          <w:rFonts w:ascii="Arial" w:cs="Arial" w:eastAsia="Arial" w:hAnsi="Arial"/>
          <w:b/>
          <w:bCs/>
          <w:sz w:val="28"/>
          <w:szCs w:val="28"/>
        </w:rPr>
        <w:t xml:space="preserve">7. Discusión de los Resultados</w:t>
      </w:r>
    </w:p>
    <w:p>
      <w:pPr>
        <w:spacing w:after="80" w:before="80" w:line="360" w:lineRule="auto"/>
        <w:jc w:val="both"/>
      </w:pPr>
      <w:r>
        <w:rPr>
          <w:rFonts w:ascii="Arial" w:cs="Arial" w:eastAsia="Arial" w:hAnsi="Arial"/>
          <w:sz w:val="22"/>
          <w:szCs w:val="22"/>
        </w:rPr>
        <w:t xml:space="preserve">Los avances obtenidos durante la fase de desarrollo validan la viabilidad del enfoque adoptado y la pertinencia de las decisiones de diseño tomadas a lo largo del proceso iterativo.</w:t>
      </w:r>
    </w:p>
    <w:p>
      <w:pPr>
        <w:spacing w:after="80" w:before="80" w:line="360" w:lineRule="auto"/>
        <w:jc w:val="both"/>
      </w:pPr>
      <w:r>
        <w:rPr>
          <w:rFonts w:ascii="Arial" w:cs="Arial" w:eastAsia="Arial" w:hAnsi="Arial"/>
          <w:sz w:val="22"/>
          <w:szCs w:val="22"/>
        </w:rPr>
        <w:t xml:space="preserve">La elección de la Raspberry Pi 4 como controlador principal resultó adecuada por su flexibilidad de programación en Python y su ecosistema de bibliotecas, permitiendo integrar los sensores, las cámaras y los módulos de comunicación sin complejidad adicional.</w:t>
      </w:r>
    </w:p>
    <w:p>
      <w:pPr>
        <w:spacing w:after="80" w:before="80" w:line="360" w:lineRule="auto"/>
        <w:jc w:val="both"/>
      </w:pPr>
      <w:r>
        <w:rPr>
          <w:rFonts w:ascii="Arial" w:cs="Arial" w:eastAsia="Arial" w:hAnsi="Arial"/>
          <w:sz w:val="22"/>
          <w:szCs w:val="22"/>
        </w:rPr>
        <w:t xml:space="preserve">La transición del sensor BME280 al GY-63 MS5611 responde a la necesidad de mayor precisión en mediciones de presión y altitud, fundamentales para la validación científica del vuelo. De manera similar, el reemplazo del transmisor VTX Cana por el RUSH TANK II V2 5.8G permite mayor flexibilidad de potencia (25 a 800 mW), adaptable según el alcance requerido durante el ascenso.</w:t>
      </w:r>
    </w:p>
    <w:p>
      <w:pPr>
        <w:spacing w:after="80" w:before="80" w:line="360" w:lineRule="auto"/>
        <w:jc w:val="both"/>
      </w:pPr>
      <w:r>
        <w:rPr>
          <w:rFonts w:ascii="Arial" w:cs="Arial" w:eastAsia="Arial" w:hAnsi="Arial"/>
          <w:sz w:val="22"/>
          <w:szCs w:val="22"/>
        </w:rPr>
        <w:t xml:space="preserve">La incorporación de los módulos LoRa LA66 representa una decisión estratégica: separar la transmisión de video (FPV 5.8 GHz) de la telemetría de datos (LoRa de largo alcance) permite optimizar ambos canales sin interferencias y aumenta la redundancia del sistema de comunicaciones.</w:t>
      </w:r>
    </w:p>
    <w:p>
      <w:pPr>
        <w:spacing w:after="80" w:before="80" w:line="360" w:lineRule="auto"/>
        <w:jc w:val="both"/>
      </w:pPr>
      <w:r>
        <w:rPr>
          <w:rFonts w:ascii="Arial" w:cs="Arial" w:eastAsia="Arial" w:hAnsi="Arial"/>
          <w:sz w:val="22"/>
          <w:szCs w:val="22"/>
        </w:rPr>
        <w:t xml:space="preserve">El cambio de SSD a tarjeta SanDisk High Endurance microSD simplifica la integración mecánica dentro de la cápsula y reduce el peso total del sistema, sin comprometer la capacidad de almacenamiento.</w:t>
      </w:r>
    </w:p>
    <w:p>
      <w:pPr>
        <w:spacing w:after="80" w:before="80" w:line="360" w:lineRule="auto"/>
        <w:jc w:val="both"/>
      </w:pPr>
      <w:r>
        <w:rPr>
          <w:rFonts w:ascii="Arial" w:cs="Arial" w:eastAsia="Arial" w:hAnsi="Arial"/>
          <w:sz w:val="22"/>
          <w:szCs w:val="22"/>
        </w:rPr>
        <w:t xml:space="preserve">El diseño de la cápsula en filamento PETG mediante impresión 3D con las propias impresoras de la escuela representa un avance significativo en la autonomía tecnológica del proyecto. La primera versión impresa permitió identificar áreas de mejora en distribución interna y resistencia estructural, que están siendo incorporadas en la segunda versión.</w:t>
      </w:r>
    </w:p>
    <w:p>
      <w:pPr>
        <w:spacing w:after="80" w:before="80" w:line="360" w:lineRule="auto"/>
        <w:jc w:val="both"/>
      </w:pPr>
      <w:r>
        <w:rPr>
          <w:rFonts w:ascii="Arial" w:cs="Arial" w:eastAsia="Arial" w:hAnsi="Arial"/>
          <w:sz w:val="22"/>
          <w:szCs w:val="22"/>
        </w:rPr>
        <w:t xml:space="preserve">El inicio de gestiones ante el aeródromo y la ANAC (RAAC Parte 32) refleja la madurez del proyecto en su dimensión legal y operativa, un aspecto frecuentemente subestimado en proyectos similares.</w:t>
      </w:r>
    </w:p>
    <w:p>
      <w:pPr>
        <w:spacing w:after="80" w:before="80" w:line="360" w:lineRule="auto"/>
        <w:jc w:val="both"/>
      </w:pPr>
      <w:r>
        <w:rPr>
          <w:rFonts w:ascii="Arial" w:cs="Arial" w:eastAsia="Arial" w:hAnsi="Arial"/>
          <w:i/>
          <w:iCs/>
          <w:color w:val="C00000"/>
          <w:sz w:val="22"/>
          <w:szCs w:val="22"/>
        </w:rPr>
        <w:t xml:space="preserve">[Una vez realizado el lanzamiento, se completará esta sección con el análisis e interpretación de los datos reales obtenidos durante el vuelo.]</w:t>
      </w:r>
    </w:p>
    <w:p>
      <w:r>
        <w:br w:type="page"/>
      </w:r>
    </w:p>
    <w:p>
      <w:pPr>
        <w:pStyle w:val="Heading1"/>
        <w:spacing w:after="160" w:before="360"/>
      </w:pPr>
      <w:r>
        <w:rPr>
          <w:rFonts w:ascii="Arial" w:cs="Arial" w:eastAsia="Arial" w:hAnsi="Arial"/>
          <w:b/>
          <w:bCs/>
          <w:sz w:val="28"/>
          <w:szCs w:val="28"/>
        </w:rPr>
        <w:t xml:space="preserve">8. Conclusiones</w:t>
      </w:r>
    </w:p>
    <w:p>
      <w:pPr>
        <w:spacing w:after="80" w:before="80" w:line="360" w:lineRule="auto"/>
        <w:jc w:val="both"/>
      </w:pPr>
      <w:r>
        <w:rPr>
          <w:rFonts w:ascii="Arial" w:cs="Arial" w:eastAsia="Arial" w:hAnsi="Arial"/>
          <w:sz w:val="22"/>
          <w:szCs w:val="22"/>
        </w:rPr>
        <w:t xml:space="preserve">El Proyecto Stella ST representa una iniciativa tecnológica y educativa concreta, desarrollada íntegramente por estudiantes de la EEST N°2 “Luciano Fortabat”. A lo largo del proceso de diseño y desarrollo, se verificó la viabilidad técnica del sistema propuesto y se fortalecieron competencias fundamentales en los integrantes del equipo: trabajo colaborativo, resolución de problemas, planificación y toma de decisiones en contextos reales.</w:t>
      </w:r>
    </w:p>
    <w:p>
      <w:pPr>
        <w:spacing w:after="80" w:before="80" w:line="360" w:lineRule="auto"/>
        <w:jc w:val="both"/>
      </w:pPr>
      <w:r>
        <w:rPr>
          <w:rFonts w:ascii="Arial" w:cs="Arial" w:eastAsia="Arial" w:hAnsi="Arial"/>
          <w:sz w:val="22"/>
          <w:szCs w:val="22"/>
        </w:rPr>
        <w:t xml:space="preserve">Los avances obtenidos demuestran que es posible integrar tecnologías avanzadas —sistemas embebidos, sensores de precisión, transmisión FPV, telemetría LoRa, GPS y diseño en 3D— en un sistema autónomo capaz de operar en condiciones extremas, empleando componentes accesibles y conocimientos adquiridos en el ámbito de la educación técnica. El proceso iterativo de selección y actualización de componentes refleja una metodología de mejora continua propia del desarrollo de proyectos tecnológicos reales.</w:t>
      </w:r>
    </w:p>
    <w:p>
      <w:pPr>
        <w:spacing w:after="80" w:before="80" w:line="360" w:lineRule="auto"/>
        <w:jc w:val="both"/>
      </w:pPr>
      <w:r>
        <w:rPr>
          <w:rFonts w:ascii="Arial" w:cs="Arial" w:eastAsia="Arial" w:hAnsi="Arial"/>
          <w:sz w:val="22"/>
          <w:szCs w:val="22"/>
        </w:rPr>
        <w:t xml:space="preserve">El proyecto abre perspectivas para futuras investigaciones en caracterización de la estrátosfera en la región pampeana, diseño de sistemas de telemetría de mayor alcance e incorporación de cargas útiles científicas en vuelos posteriores. Aspira a convertirse en un precedente que inspire proyectos innovadores en la institución y en otras escuelas técnicas de la región.</w:t>
      </w:r>
    </w:p>
    <w:p>
      <w:pPr>
        <w:spacing w:after="80" w:before="80" w:line="360" w:lineRule="auto"/>
        <w:jc w:val="both"/>
      </w:pPr>
      <w:r>
        <w:rPr>
          <w:rFonts w:ascii="Arial" w:cs="Arial" w:eastAsia="Arial" w:hAnsi="Arial"/>
          <w:i/>
          <w:iCs/>
          <w:color w:val="C00000"/>
          <w:sz w:val="22"/>
          <w:szCs w:val="22"/>
        </w:rPr>
        <w:t xml:space="preserve">[Las conclusiones definitivas, en función de los resultados del lanzamiento, serán incorporadas en la versión final del informe.]</w:t>
      </w:r>
    </w:p>
    <w:p>
      <w:r>
        <w:br w:type="page"/>
      </w:r>
    </w:p>
    <w:p>
      <w:pPr>
        <w:pStyle w:val="Heading1"/>
        <w:spacing w:after="160" w:before="360"/>
      </w:pPr>
      <w:r>
        <w:rPr>
          <w:rFonts w:ascii="Arial" w:cs="Arial" w:eastAsia="Arial" w:hAnsi="Arial"/>
          <w:b/>
          <w:bCs/>
          <w:sz w:val="28"/>
          <w:szCs w:val="28"/>
        </w:rPr>
        <w:t xml:space="preserve">9. Bibliografía</w:t>
      </w:r>
    </w:p>
    <w:p>
      <w:pPr>
        <w:spacing w:after="80" w:before="80" w:line="360" w:lineRule="auto"/>
        <w:jc w:val="both"/>
      </w:pPr>
      <w:r>
        <w:rPr>
          <w:rFonts w:ascii="Arial" w:cs="Arial" w:eastAsia="Arial" w:hAnsi="Arial"/>
          <w:sz w:val="22"/>
          <w:szCs w:val="22"/>
        </w:rPr>
        <w:t xml:space="preserve">Administración Nacional de Aviación Civil (ANAC). (2025). Regulaciones Argentinas de Aviación Civil — RAAC Parte 32: Globos Cautivos, Barriletes, Cohetes de Aficionados y Globos Libres No Tripulados (4ª ed., Resolución ANAC N° 550). Argentina.</w:t>
      </w:r>
    </w:p>
    <w:p>
      <w:pPr>
        <w:spacing w:after="80" w:before="80" w:line="360" w:lineRule="auto"/>
        <w:jc w:val="both"/>
      </w:pPr>
      <w:r>
        <w:rPr>
          <w:rFonts w:ascii="Arial" w:cs="Arial" w:eastAsia="Arial" w:hAnsi="Arial"/>
          <w:i/>
          <w:iCs/>
          <w:color w:val="C00000"/>
          <w:sz w:val="22"/>
          <w:szCs w:val="22"/>
        </w:rPr>
        <w:t xml:space="preserve">[Completar con otras referencias bibliográficas utilizadas. Formato APA recomendado.]</w:t>
      </w:r>
    </w:p>
    <w:p>
      <w:pPr>
        <w:spacing w:after="80" w:before="80" w:line="360" w:lineRule="auto"/>
        <w:ind w:left="720" w:hanging="360"/>
      </w:pPr>
      <w:r>
        <w:rPr>
          <w:rFonts w:ascii="Arial" w:cs="Arial" w:eastAsia="Arial" w:hAnsi="Arial"/>
          <w:i/>
          <w:iCs/>
          <w:color w:val="888888"/>
          <w:sz w:val="22"/>
          <w:szCs w:val="22"/>
        </w:rPr>
        <w:t xml:space="preserve">Ejemplo: Apellido, A. A. (Año). Título del trabajo. Editorial / URL.</w:t>
      </w:r>
    </w:p>
    <w:p>
      <w:r>
        <w:br w:type="page"/>
      </w:r>
    </w:p>
    <w:p>
      <w:pPr>
        <w:pStyle w:val="Heading1"/>
        <w:spacing w:after="160" w:before="360"/>
      </w:pPr>
      <w:r>
        <w:rPr>
          <w:rFonts w:ascii="Arial" w:cs="Arial" w:eastAsia="Arial" w:hAnsi="Arial"/>
          <w:b/>
          <w:bCs/>
          <w:sz w:val="28"/>
          <w:szCs w:val="28"/>
        </w:rPr>
        <w:t xml:space="preserve">10. Agradecimientos</w:t>
      </w:r>
    </w:p>
    <w:p>
      <w:pPr>
        <w:spacing w:after="80" w:before="80" w:line="360" w:lineRule="auto"/>
        <w:jc w:val="both"/>
      </w:pPr>
      <w:r>
        <w:rPr>
          <w:rFonts w:ascii="Arial" w:cs="Arial" w:eastAsia="Arial" w:hAnsi="Arial"/>
          <w:i/>
          <w:iCs/>
          <w:color w:val="C00000"/>
          <w:sz w:val="22"/>
          <w:szCs w:val="22"/>
        </w:rPr>
        <w:t xml:space="preserve">[Completar con los agradecimientos correspondientes: docentes, instituciones, patrocinadores u otras personas que hayan brindado apoyo o asesoría al proyecto.]</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center"/>
    </w:pP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color w:val="555555"/>
        <w:sz w:val="18"/>
        <w:szCs w:val="18"/>
      </w:rPr>
      <w:t xml:space="preserve">Proyecto Stella ST  —  EEST N°2 “Luciano Fortabat”</w:t>
    </w:r>
    <w:r>
      <w:rPr>
        <w:sz w:val="18"/>
        <w:szCs w:val="18"/>
      </w:rPr>
      <w:t xml:space="preserve">	</w:t>
    </w:r>
    <w:r>
      <w:rPr>
        <w:rFonts w:ascii="Arial" w:cs="Arial" w:eastAsia="Arial" w:hAnsi="Arial"/>
        <w:color w:val="555555"/>
        <w:sz w:val="18"/>
        <w:szCs w:val="18"/>
      </w:rPr>
      <w:t xml:space="preserve">Olavarría,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2026-07-16T00:08:21.008Z</dcterms:created>
  <dcterms:modified xsi:type="dcterms:W3CDTF">2026-07-16T00:08:21.028Z</dcterms:modified>
</cp:coreProperties>
</file>

<file path=docProps/custom.xml><?xml version="1.0" encoding="utf-8"?>
<Properties xmlns="http://schemas.openxmlformats.org/officeDocument/2006/custom-properties" xmlns:vt="http://schemas.openxmlformats.org/officeDocument/2006/docPropsVTypes"/>
</file>