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723" w:rsidRDefault="00EB6548" w:rsidP="00EB6548">
      <w:pPr>
        <w:pStyle w:val="Ttulo"/>
      </w:pPr>
      <w:r>
        <w:t>Análisis documental: Ley 1581 de 2012</w:t>
      </w:r>
    </w:p>
    <w:p w:rsidR="00EB6548" w:rsidRDefault="00EB6548" w:rsidP="00EB6548">
      <w:pPr>
        <w:pStyle w:val="Subttulo"/>
      </w:pPr>
      <w:r>
        <w:t>Proyecto Grupo 04 · Sesión 2 · Actividad 3</w:t>
      </w:r>
    </w:p>
    <w:p w:rsidR="00EB6548" w:rsidRDefault="00EB6548" w:rsidP="00EB6548">
      <w:pPr>
        <w:pStyle w:val="Ttulo1"/>
      </w:pPr>
      <w:r>
        <w:t>1. Documento analizado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640"/>
      </w:tblGrid>
      <w:tr w:rsidR="00EB6548" w:rsidRPr="00EB6548" w:rsidTr="00EB6548">
        <w:trPr>
          <w:cantSplit/>
          <w:tblHeader/>
        </w:trPr>
        <w:tc>
          <w:tcPr>
            <w:tcW w:w="220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764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Detalle</w:t>
            </w:r>
          </w:p>
        </w:tc>
      </w:tr>
      <w:tr w:rsidR="00EB6548" w:rsidRPr="00EB6548" w:rsidTr="00EB6548">
        <w:trPr>
          <w:cantSplit/>
        </w:trPr>
        <w:tc>
          <w:tcPr>
            <w:tcW w:w="22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76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 de 2012, "por la cual se dictan disposiciones generales para la protección de datos personales".</w:t>
            </w:r>
          </w:p>
        </w:tc>
      </w:tr>
      <w:tr w:rsidR="00EB6548" w:rsidRPr="00EB6548" w:rsidTr="00EB6548">
        <w:trPr>
          <w:cantSplit/>
        </w:trPr>
        <w:tc>
          <w:tcPr>
            <w:tcW w:w="22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b/>
                <w:sz w:val="20"/>
              </w:rPr>
              <w:t>Emisor</w:t>
            </w:r>
          </w:p>
        </w:tc>
        <w:tc>
          <w:tcPr>
            <w:tcW w:w="76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Congreso de la República de Colombia.</w:t>
            </w:r>
          </w:p>
        </w:tc>
      </w:tr>
      <w:tr w:rsidR="00EB6548" w:rsidRPr="00EB6548" w:rsidTr="00EB6548">
        <w:trPr>
          <w:cantSplit/>
        </w:trPr>
        <w:tc>
          <w:tcPr>
            <w:tcW w:w="22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76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Expedida el 17 de octubre de 2012. Diario Oficial 48.587 del 18 de octubre de 2012.</w:t>
            </w:r>
          </w:p>
        </w:tc>
      </w:tr>
      <w:tr w:rsidR="00EB6548" w:rsidRPr="00EB6548" w:rsidTr="00EB6548">
        <w:trPr>
          <w:cantSplit/>
        </w:trPr>
        <w:tc>
          <w:tcPr>
            <w:tcW w:w="22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b/>
                <w:sz w:val="20"/>
              </w:rPr>
              <w:t>Fuente consultada</w:t>
            </w:r>
          </w:p>
        </w:tc>
        <w:tc>
          <w:tcPr>
            <w:tcW w:w="76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Régimen Legal de Bogotá D. C. (Alcaldía Mayor): alcaldiabogota.gov.co/sisjur/normas/Norma1.jsp?i=49981</w:t>
            </w:r>
          </w:p>
        </w:tc>
      </w:tr>
      <w:tr w:rsidR="00EB6548" w:rsidRPr="00EB6548" w:rsidTr="00EB6548">
        <w:trPr>
          <w:cantSplit/>
        </w:trPr>
        <w:tc>
          <w:tcPr>
            <w:tcW w:w="22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b/>
                <w:sz w:val="20"/>
              </w:rPr>
              <w:t>Consulta</w:t>
            </w:r>
          </w:p>
        </w:tc>
        <w:tc>
          <w:tcPr>
            <w:tcW w:w="76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Septiembre de 2026.</w:t>
            </w:r>
          </w:p>
        </w:tc>
      </w:tr>
      <w:tr w:rsidR="00EB6548" w:rsidRPr="00EB6548" w:rsidTr="00EB6548">
        <w:trPr>
          <w:cantSplit/>
        </w:trPr>
        <w:tc>
          <w:tcPr>
            <w:tcW w:w="22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b/>
                <w:sz w:val="20"/>
              </w:rPr>
              <w:t>Tipo de documento</w:t>
            </w:r>
          </w:p>
        </w:tc>
        <w:tc>
          <w:tcPr>
            <w:tcW w:w="76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Norma (sección 3.2 de la guía).</w:t>
            </w:r>
          </w:p>
        </w:tc>
      </w:tr>
    </w:tbl>
    <w:p w:rsidR="00EB6548" w:rsidRDefault="00EB6548" w:rsidP="00EB6548">
      <w:pPr>
        <w:rPr>
          <w:sz w:val="8"/>
        </w:rPr>
      </w:pPr>
    </w:p>
    <w:p w:rsidR="00EB6548" w:rsidRDefault="00EB6548" w:rsidP="00EB6548">
      <w:pPr>
        <w:pStyle w:val="Ttulo1"/>
      </w:pPr>
      <w:r>
        <w:t>2. Por qué este documento</w:t>
      </w:r>
    </w:p>
    <w:p w:rsidR="00EB6548" w:rsidRDefault="00EB6548" w:rsidP="00EB6548">
      <w:r>
        <w:t>El acta de constitución ya lo registra como restricción: todo dato personal que el sistema recoja debe cumplir la Ley 1581. El sistema tendrá usuarios (propietario, panadero y cajera) y por eso guardará, como mínimo, sus nombres y credenciales. Si en otra fase se registran clientes, la ley aplica con más fuerza. Una norma no se prioriza ni se negocia, se cumple, y por eso los requisitos que salen de ella van marcados como no negociables.</w:t>
      </w:r>
    </w:p>
    <w:p w:rsidR="00EB6548" w:rsidRDefault="00EB6548" w:rsidP="00EB6548">
      <w:pPr>
        <w:pStyle w:val="Ttulo1"/>
      </w:pPr>
      <w:r>
        <w:t>3. Lectura de los artículos relevantes</w:t>
      </w:r>
    </w:p>
    <w:p w:rsidR="00EB6548" w:rsidRDefault="00EB6548" w:rsidP="00EB6548">
      <w:r>
        <w:t>Para cada artículo se ubicó el verbo de obligación y el sujeto obligado, el plazo con su unidad y las excepciones, y se redactó el requisito comprobable citando la fuente.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400"/>
        <w:gridCol w:w="3360"/>
        <w:gridCol w:w="2600"/>
        <w:gridCol w:w="2480"/>
      </w:tblGrid>
      <w:tr w:rsidR="00EB6548" w:rsidRPr="00EB6548" w:rsidTr="00EB6548">
        <w:trPr>
          <w:cantSplit/>
          <w:tblHeader/>
        </w:trPr>
        <w:tc>
          <w:tcPr>
            <w:tcW w:w="140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Artículo</w:t>
            </w:r>
          </w:p>
        </w:tc>
        <w:tc>
          <w:tcPr>
            <w:tcW w:w="336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Obligación (quién y qué)</w:t>
            </w:r>
          </w:p>
        </w:tc>
        <w:tc>
          <w:tcPr>
            <w:tcW w:w="260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Plazo o excepción</w:t>
            </w:r>
          </w:p>
        </w:tc>
        <w:tc>
          <w:tcPr>
            <w:tcW w:w="248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Requisito derivado</w:t>
            </w:r>
          </w:p>
        </w:tc>
      </w:tr>
      <w:tr w:rsidR="00EB6548" w:rsidRPr="00EB6548" w:rsidTr="00EB6548">
        <w:trPr>
          <w:cantSplit/>
        </w:trPr>
        <w:tc>
          <w:tcPr>
            <w:tcW w:w="14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Art. 9 y art. 4, lit. c</w:t>
            </w:r>
          </w:p>
        </w:tc>
        <w:tc>
          <w:tcPr>
            <w:tcW w:w="33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Responsable del Tratamiento debe obtener la autorización previa e informada del Titular.</w:t>
            </w:r>
          </w:p>
        </w:tc>
        <w:tc>
          <w:tcPr>
            <w:tcW w:w="26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art. 10 lista excepciones (datos públicos, orden de una autoridad, urgencia médica). No aplican a las cuentas de usuario.</w:t>
            </w:r>
          </w:p>
        </w:tc>
        <w:tc>
          <w:tcPr>
            <w:tcW w:w="248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RF-DP-01</w:t>
            </w:r>
          </w:p>
        </w:tc>
      </w:tr>
      <w:tr w:rsidR="00EB6548" w:rsidRPr="00EB6548" w:rsidTr="00EB6548">
        <w:trPr>
          <w:cantSplit/>
        </w:trPr>
        <w:tc>
          <w:tcPr>
            <w:tcW w:w="14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Art. 12</w:t>
            </w:r>
          </w:p>
        </w:tc>
        <w:tc>
          <w:tcPr>
            <w:tcW w:w="33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Responsable, al pedir la autorización, debe informar la finalidad, los derechos del Titular y su propia identificación y contacto.</w:t>
            </w:r>
          </w:p>
        </w:tc>
        <w:tc>
          <w:tcPr>
            <w:tcW w:w="26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Antes de recoger el dato.</w:t>
            </w:r>
          </w:p>
        </w:tc>
        <w:tc>
          <w:tcPr>
            <w:tcW w:w="248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RF-DP-02</w:t>
            </w:r>
          </w:p>
        </w:tc>
      </w:tr>
      <w:tr w:rsidR="00EB6548" w:rsidRPr="00EB6548" w:rsidTr="00EB6548">
        <w:trPr>
          <w:cantSplit/>
        </w:trPr>
        <w:tc>
          <w:tcPr>
            <w:tcW w:w="14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Art. 17, lit. b, y art. 8, lit. b</w:t>
            </w:r>
          </w:p>
        </w:tc>
        <w:tc>
          <w:tcPr>
            <w:tcW w:w="33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Responsable debe solicitar y conservar copia de la autorización; el Titular puede pedir prueba de ella.</w:t>
            </w:r>
          </w:p>
        </w:tc>
        <w:tc>
          <w:tcPr>
            <w:tcW w:w="26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Mientras se conserven los datos.</w:t>
            </w:r>
          </w:p>
        </w:tc>
        <w:tc>
          <w:tcPr>
            <w:tcW w:w="248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RF-DP-03</w:t>
            </w:r>
          </w:p>
        </w:tc>
      </w:tr>
      <w:tr w:rsidR="00EB6548" w:rsidRPr="00EB6548" w:rsidTr="00EB6548">
        <w:trPr>
          <w:cantSplit/>
        </w:trPr>
        <w:tc>
          <w:tcPr>
            <w:tcW w:w="14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lastRenderedPageBreak/>
              <w:t>Art. 8, lits. a, e y f</w:t>
            </w:r>
          </w:p>
        </w:tc>
        <w:tc>
          <w:tcPr>
            <w:tcW w:w="33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Titular puede conocer, actualizar y rectificar sus datos, revocar la autorización y pedir su supresión, y acceder gratis a ellos.</w:t>
            </w:r>
          </w:p>
        </w:tc>
        <w:tc>
          <w:tcPr>
            <w:tcW w:w="26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Sin plazo propio; la atención se rige por los arts. 14 y 15.</w:t>
            </w:r>
          </w:p>
        </w:tc>
        <w:tc>
          <w:tcPr>
            <w:tcW w:w="248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RF-DP-04</w:t>
            </w:r>
          </w:p>
        </w:tc>
      </w:tr>
      <w:tr w:rsidR="00EB6548" w:rsidRPr="00EB6548" w:rsidTr="00EB6548">
        <w:trPr>
          <w:cantSplit/>
        </w:trPr>
        <w:tc>
          <w:tcPr>
            <w:tcW w:w="14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Arts. 14 y 15</w:t>
            </w:r>
          </w:p>
        </w:tc>
        <w:tc>
          <w:tcPr>
            <w:tcW w:w="33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Responsable debe responder las consultas y los reclamos del Titular.</w:t>
            </w:r>
          </w:p>
        </w:tc>
        <w:tc>
          <w:tcPr>
            <w:tcW w:w="26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Consultas: 10 días hábiles, prorrogables 5 (art. 14). Reclamos: 15 días hábiles, prorrogables 8 (art. 15).</w:t>
            </w:r>
          </w:p>
        </w:tc>
        <w:tc>
          <w:tcPr>
            <w:tcW w:w="248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RF-DP-05</w:t>
            </w:r>
          </w:p>
        </w:tc>
      </w:tr>
      <w:tr w:rsidR="00EB6548" w:rsidRPr="00EB6548" w:rsidTr="00EB6548">
        <w:trPr>
          <w:cantSplit/>
        </w:trPr>
        <w:tc>
          <w:tcPr>
            <w:tcW w:w="14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Art. 4, lit. g</w:t>
            </w:r>
          </w:p>
        </w:tc>
        <w:tc>
          <w:tcPr>
            <w:tcW w:w="33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Responsable debe manejar la información con las medidas técnicas, humanas y administrativas necesarias.</w:t>
            </w:r>
          </w:p>
        </w:tc>
        <w:tc>
          <w:tcPr>
            <w:tcW w:w="26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Sin plazo.</w:t>
            </w:r>
          </w:p>
        </w:tc>
        <w:tc>
          <w:tcPr>
            <w:tcW w:w="248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RNF-DP-06</w:t>
            </w:r>
          </w:p>
        </w:tc>
      </w:tr>
      <w:tr w:rsidR="00EB6548" w:rsidRPr="00EB6548" w:rsidTr="00EB6548">
        <w:trPr>
          <w:cantSplit/>
        </w:trPr>
        <w:tc>
          <w:tcPr>
            <w:tcW w:w="14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Art. 5</w:t>
            </w:r>
          </w:p>
        </w:tc>
        <w:tc>
          <w:tcPr>
            <w:tcW w:w="33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Define los datos sensibles: los que afectan la intimidad o pueden generar discriminación (salud, origen étnico, orientación política, entre otros).</w:t>
            </w:r>
          </w:p>
        </w:tc>
        <w:tc>
          <w:tcPr>
            <w:tcW w:w="260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Sin plazo.</w:t>
            </w:r>
          </w:p>
        </w:tc>
        <w:tc>
          <w:tcPr>
            <w:tcW w:w="248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RF-DP-07</w:t>
            </w:r>
          </w:p>
        </w:tc>
      </w:tr>
    </w:tbl>
    <w:p w:rsidR="00EB6548" w:rsidRDefault="00EB6548" w:rsidP="00EB6548">
      <w:pPr>
        <w:rPr>
          <w:sz w:val="8"/>
        </w:rPr>
      </w:pPr>
    </w:p>
    <w:p w:rsidR="00EB6548" w:rsidRDefault="00EB6548" w:rsidP="00EB6548">
      <w:pPr>
        <w:pStyle w:val="Ttulo1"/>
      </w:pPr>
      <w:r>
        <w:t>4. Requisitos derivados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040"/>
        <w:gridCol w:w="3920"/>
        <w:gridCol w:w="2160"/>
        <w:gridCol w:w="2720"/>
      </w:tblGrid>
      <w:tr w:rsidR="00EB6548" w:rsidRPr="00EB6548" w:rsidTr="00EB6548">
        <w:trPr>
          <w:cantSplit/>
          <w:tblHeader/>
        </w:trPr>
        <w:tc>
          <w:tcPr>
            <w:tcW w:w="104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392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16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w="2720" w:type="dxa"/>
            <w:shd w:val="clear" w:color="auto" w:fill="212121"/>
          </w:tcPr>
          <w:p w:rsidR="00EB6548" w:rsidRPr="00EB6548" w:rsidRDefault="00EB6548" w:rsidP="00EB6548">
            <w:pPr>
              <w:spacing w:after="40"/>
              <w:rPr>
                <w:b/>
                <w:color w:val="FFFFFF"/>
                <w:sz w:val="20"/>
              </w:rPr>
            </w:pPr>
            <w:r w:rsidRPr="00EB6548">
              <w:rPr>
                <w:b/>
                <w:color w:val="FFFFFF"/>
                <w:sz w:val="20"/>
              </w:rPr>
              <w:t>Cómo se verifica</w:t>
            </w:r>
          </w:p>
        </w:tc>
      </w:tr>
      <w:tr w:rsidR="00EB6548" w:rsidRPr="00EB6548" w:rsidTr="00EB6548">
        <w:trPr>
          <w:cantSplit/>
        </w:trPr>
        <w:tc>
          <w:tcPr>
            <w:tcW w:w="10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RF-DP-01</w:t>
            </w:r>
          </w:p>
        </w:tc>
        <w:tc>
          <w:tcPr>
            <w:tcW w:w="39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Antes de crear una cuenta con datos personales, el sistema pedirá al futuro usuario su autorización expresa y registrará la fecha y la forma en que la dio.</w:t>
            </w:r>
          </w:p>
        </w:tc>
        <w:tc>
          <w:tcPr>
            <w:tcW w:w="21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1581, arts. 9 y 4 lit. c</w:t>
            </w:r>
          </w:p>
        </w:tc>
        <w:tc>
          <w:tcPr>
            <w:tcW w:w="27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Crear una cuenta de prueba y comprobar que no se puede guardar sin la autorización y que esta queda con fecha.</w:t>
            </w:r>
          </w:p>
        </w:tc>
      </w:tr>
      <w:tr w:rsidR="00EB6548" w:rsidRPr="00EB6548" w:rsidTr="00EB6548">
        <w:trPr>
          <w:cantSplit/>
        </w:trPr>
        <w:tc>
          <w:tcPr>
            <w:tcW w:w="10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RF-DP-02</w:t>
            </w:r>
          </w:p>
        </w:tc>
        <w:tc>
          <w:tcPr>
            <w:tcW w:w="39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Antes de recoger datos personales, el sistema mostrará la finalidad del tratamiento, los derechos del titular y la identificación y el contacto del responsable (el propietario).</w:t>
            </w:r>
          </w:p>
        </w:tc>
        <w:tc>
          <w:tcPr>
            <w:tcW w:w="21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1581, art. 12</w:t>
            </w:r>
          </w:p>
        </w:tc>
        <w:tc>
          <w:tcPr>
            <w:tcW w:w="27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Revisar la pantalla de autorización y comprobar que muestra esos tres elementos.</w:t>
            </w:r>
          </w:p>
        </w:tc>
      </w:tr>
      <w:tr w:rsidR="00EB6548" w:rsidRPr="00EB6548" w:rsidTr="00EB6548">
        <w:trPr>
          <w:cantSplit/>
        </w:trPr>
        <w:tc>
          <w:tcPr>
            <w:tcW w:w="10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RF-DP-03</w:t>
            </w:r>
          </w:p>
        </w:tc>
        <w:tc>
          <w:tcPr>
            <w:tcW w:w="39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sistema conservará copia de la autorización de cada usuario mientras tenga sus datos y podrá mostrarla si el titular la pide.</w:t>
            </w:r>
          </w:p>
        </w:tc>
        <w:tc>
          <w:tcPr>
            <w:tcW w:w="21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1581, art. 17 lit. b y art. 8 lit. b</w:t>
            </w:r>
          </w:p>
        </w:tc>
        <w:tc>
          <w:tcPr>
            <w:tcW w:w="27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Consultar la autorización de un usuario de prueba.</w:t>
            </w:r>
          </w:p>
        </w:tc>
      </w:tr>
      <w:tr w:rsidR="00EB6548" w:rsidRPr="00EB6548" w:rsidTr="00EB6548">
        <w:trPr>
          <w:cantSplit/>
        </w:trPr>
        <w:tc>
          <w:tcPr>
            <w:tcW w:w="10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RF-DP-04</w:t>
            </w:r>
          </w:p>
        </w:tc>
        <w:tc>
          <w:tcPr>
            <w:tcW w:w="39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propietario podrá consultar, corregir y eliminar los datos personales de un usuario cuando este lo pida, y entregarle una copia sin costo.</w:t>
            </w:r>
          </w:p>
        </w:tc>
        <w:tc>
          <w:tcPr>
            <w:tcW w:w="21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1581, art. 8 lits. a, e y f</w:t>
            </w:r>
          </w:p>
        </w:tc>
        <w:tc>
          <w:tcPr>
            <w:tcW w:w="27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Ejecutar cada operación sobre una cuenta de prueba.</w:t>
            </w:r>
          </w:p>
        </w:tc>
      </w:tr>
      <w:tr w:rsidR="00EB6548" w:rsidRPr="00EB6548" w:rsidTr="00EB6548">
        <w:trPr>
          <w:cantSplit/>
        </w:trPr>
        <w:tc>
          <w:tcPr>
            <w:tcW w:w="10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RF-DP-05</w:t>
            </w:r>
          </w:p>
        </w:tc>
        <w:tc>
          <w:tcPr>
            <w:tcW w:w="39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sistema registrará la fecha de cada consulta o reclamo de un titular y calculará solo su vencimiento, contando únicamente días hábiles: 10 para consultas y 15 para reclamos.</w:t>
            </w:r>
          </w:p>
        </w:tc>
        <w:tc>
          <w:tcPr>
            <w:tcW w:w="21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1581, arts. 14 y 15</w:t>
            </w:r>
          </w:p>
        </w:tc>
        <w:tc>
          <w:tcPr>
            <w:tcW w:w="27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Registrar una consulta y un reclamo con una fecha conocida y comparar el vencimiento calculado con el esperado.</w:t>
            </w:r>
          </w:p>
        </w:tc>
      </w:tr>
      <w:tr w:rsidR="00EB6548" w:rsidRPr="00EB6548" w:rsidTr="00EB6548">
        <w:trPr>
          <w:cantSplit/>
        </w:trPr>
        <w:tc>
          <w:tcPr>
            <w:tcW w:w="10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RNF-DP-06</w:t>
            </w:r>
          </w:p>
        </w:tc>
        <w:tc>
          <w:tcPr>
            <w:tcW w:w="39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Cada usuario entrará con credenciales propias y solo el propietario podrá ver los datos personales de los demás usuarios.</w:t>
            </w:r>
          </w:p>
        </w:tc>
        <w:tc>
          <w:tcPr>
            <w:tcW w:w="21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1581, art. 4 lit. g</w:t>
            </w:r>
          </w:p>
        </w:tc>
        <w:tc>
          <w:tcPr>
            <w:tcW w:w="27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Entrar con el perfil de cajera y comprobar que no ve datos personales de otros.</w:t>
            </w:r>
          </w:p>
        </w:tc>
      </w:tr>
      <w:tr w:rsidR="00EB6548" w:rsidRPr="00EB6548" w:rsidTr="00EB6548">
        <w:trPr>
          <w:cantSplit/>
        </w:trPr>
        <w:tc>
          <w:tcPr>
            <w:tcW w:w="104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lastRenderedPageBreak/>
              <w:t>RF-DP-07</w:t>
            </w:r>
          </w:p>
        </w:tc>
        <w:tc>
          <w:tcPr>
            <w:tcW w:w="39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El sistema no tendrá campos para datos sensibles (salud, origen étnico, orientación política, etc.), porque el proyecto no los necesita.</w:t>
            </w:r>
          </w:p>
        </w:tc>
        <w:tc>
          <w:tcPr>
            <w:tcW w:w="216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Ley 1581, art. 5</w:t>
            </w:r>
          </w:p>
        </w:tc>
        <w:tc>
          <w:tcPr>
            <w:tcW w:w="2720" w:type="dxa"/>
            <w:shd w:val="clear" w:color="auto" w:fill="auto"/>
          </w:tcPr>
          <w:p w:rsidR="00EB6548" w:rsidRPr="00EB6548" w:rsidRDefault="00EB6548" w:rsidP="00EB6548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Revisar el modelo de datos y confirmar que esos campos no existen.</w:t>
            </w:r>
          </w:p>
        </w:tc>
      </w:tr>
    </w:tbl>
    <w:p w:rsidR="00EB6548" w:rsidRDefault="00EB6548" w:rsidP="00EB6548">
      <w:pPr>
        <w:rPr>
          <w:sz w:val="8"/>
        </w:rPr>
      </w:pPr>
    </w:p>
    <w:p w:rsidR="00EB6548" w:rsidRDefault="00EB6548" w:rsidP="00EB6548">
      <w:pPr>
        <w:pStyle w:val="Ttulo1"/>
      </w:pPr>
      <w:r>
        <w:t>5. Cómo se tratan en el backlog</w:t>
      </w:r>
    </w:p>
    <w:p w:rsidR="00EB6548" w:rsidRDefault="00EB6548" w:rsidP="00EB6548">
      <w:r>
        <w:t xml:space="preserve">Los siete requisitos se marcan como </w:t>
      </w:r>
      <w:r>
        <w:rPr>
          <w:b/>
        </w:rPr>
        <w:t>no negociables</w:t>
      </w:r>
      <w:r>
        <w:t>: vienen de una norma y no de una necesidad expresada por un stakeholder. No se priorizan en la Sesión 4, se cumplen. Cada uno cita su artículo para poder revisarlo.</w:t>
      </w:r>
    </w:p>
    <w:p w:rsidR="00EB6548" w:rsidRDefault="00EB6548" w:rsidP="00EB6548">
      <w:pPr>
        <w:pStyle w:val="Ttulo1"/>
      </w:pPr>
      <w:r>
        <w:t>6. Límites del análisis</w:t>
      </w:r>
    </w:p>
    <w:p w:rsidR="00EB6548" w:rsidRDefault="00EB6548" w:rsidP="00EB6548">
      <w:pPr>
        <w:pStyle w:val="Listaconvietas"/>
      </w:pPr>
      <w:r>
        <w:t>Se analizaron los artículos que aplican a un sistema que guarda datos de sus propios usuarios. No se revisaron las normas que reglamentan la ley.</w:t>
      </w:r>
    </w:p>
    <w:p w:rsidR="00EB6548" w:rsidRDefault="00EB6548" w:rsidP="00EB6548">
      <w:pPr>
        <w:pStyle w:val="Listaconvietas"/>
      </w:pPr>
      <w:r>
        <w:t>Los artículos se leyeron en una sola fuente de consulta, sin contrastarla con el Diario Oficial.</w:t>
      </w:r>
    </w:p>
    <w:p w:rsidR="00EB6548" w:rsidRDefault="00EB6548" w:rsidP="00EB6548">
      <w:pPr>
        <w:pStyle w:val="Listaconvietas"/>
      </w:pPr>
      <w:r>
        <w:t>No es asesoría jurídica: los requisitos deben confirmarse con quien asesore al propietario.</w:t>
      </w:r>
    </w:p>
    <w:p w:rsidR="00EB6548" w:rsidRPr="00EB6548" w:rsidRDefault="00EB6548" w:rsidP="00EB6548">
      <w:bookmarkStart w:id="0" w:name="_GoBack"/>
      <w:bookmarkEnd w:id="0"/>
    </w:p>
    <w:sectPr w:rsidR="00EB6548" w:rsidRPr="00EB6548" w:rsidSect="00EB65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B6548" w:rsidRDefault="00EB6548" w:rsidP="00EB6548">
      <w:pPr>
        <w:spacing w:after="0"/>
      </w:pPr>
      <w:r>
        <w:separator/>
      </w:r>
    </w:p>
  </w:endnote>
  <w:endnote w:type="continuationSeparator" w:id="0">
    <w:p w:rsidR="00EB6548" w:rsidRDefault="00EB6548" w:rsidP="00EB65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B6548" w:rsidRDefault="00EB6548" w:rsidP="00A05F9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:rsidR="00EB6548" w:rsidRDefault="00EB6548" w:rsidP="00EB654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B6548" w:rsidRDefault="00EB6548" w:rsidP="00A05F9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B6548" w:rsidRPr="00EB6548" w:rsidRDefault="00EB6548" w:rsidP="00EB6548">
    <w:pPr>
      <w:pStyle w:val="Piedepgina"/>
      <w:ind w:right="360"/>
      <w:rPr>
        <w:color w:val="808080"/>
        <w:sz w:val="18"/>
      </w:rPr>
    </w:pPr>
    <w:r w:rsidRPr="00EB6548">
      <w:rPr>
        <w:color w:val="808080"/>
        <w:sz w:val="18"/>
      </w:rPr>
      <w:t>Proyecto Grupo 04 · Análisis documental · Sesión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B6548" w:rsidRDefault="00EB65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B6548" w:rsidRDefault="00EB6548" w:rsidP="00EB6548">
      <w:pPr>
        <w:spacing w:after="0"/>
      </w:pPr>
      <w:r>
        <w:separator/>
      </w:r>
    </w:p>
  </w:footnote>
  <w:footnote w:type="continuationSeparator" w:id="0">
    <w:p w:rsidR="00EB6548" w:rsidRDefault="00EB6548" w:rsidP="00EB65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B6548" w:rsidRDefault="00EB65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B6548" w:rsidRDefault="00EB654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B6548" w:rsidRDefault="00EB65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50506AB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48"/>
    <w:rsid w:val="00965723"/>
    <w:rsid w:val="00A83CE1"/>
    <w:rsid w:val="00EB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CBE520-B6CC-46E4-8C7F-D443C430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B6548"/>
    <w:pPr>
      <w:keepNext/>
      <w:keepLines/>
      <w:spacing w:before="360"/>
      <w:outlineLvl w:val="0"/>
    </w:pPr>
    <w:rPr>
      <w:rFonts w:eastAsiaTheme="majorEastAsia"/>
      <w:b/>
      <w:color w:val="A97C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548"/>
    <w:pPr>
      <w:keepNext/>
      <w:keepLines/>
      <w:spacing w:before="200" w:after="80"/>
      <w:outlineLvl w:val="1"/>
    </w:pPr>
    <w:rPr>
      <w:rFonts w:eastAsiaTheme="majorEastAsia"/>
      <w:b/>
      <w:color w:val="21212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548"/>
    <w:rPr>
      <w:rFonts w:ascii="Calibri" w:eastAsiaTheme="majorEastAsia" w:hAnsi="Calibri" w:cs="Calibri"/>
      <w:b/>
      <w:color w:val="A97C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548"/>
    <w:rPr>
      <w:rFonts w:ascii="Calibri" w:eastAsiaTheme="majorEastAsia" w:hAnsi="Calibri" w:cs="Calibri"/>
      <w:b/>
      <w:color w:val="21212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B6548"/>
    <w:pPr>
      <w:spacing w:after="40"/>
      <w:contextualSpacing/>
    </w:pPr>
    <w:rPr>
      <w:rFonts w:eastAsiaTheme="majorEastAsia"/>
      <w:b/>
      <w:color w:val="212121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548"/>
    <w:rPr>
      <w:rFonts w:ascii="Calibri" w:eastAsiaTheme="majorEastAsia" w:hAnsi="Calibri" w:cs="Calibri"/>
      <w:b/>
      <w:color w:val="212121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548"/>
    <w:pPr>
      <w:numPr>
        <w:ilvl w:val="1"/>
      </w:numPr>
      <w:spacing w:after="240"/>
    </w:pPr>
    <w:rPr>
      <w:rFonts w:eastAsiaTheme="minorEastAsia"/>
      <w:color w:val="808080"/>
      <w:sz w:val="26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EB6548"/>
    <w:rPr>
      <w:rFonts w:ascii="Calibri" w:eastAsiaTheme="minorEastAsia" w:hAnsi="Calibri" w:cs="Calibri"/>
      <w:color w:val="808080"/>
      <w:sz w:val="26"/>
      <w:szCs w:val="22"/>
    </w:rPr>
  </w:style>
  <w:style w:type="paragraph" w:styleId="Listaconvietas">
    <w:name w:val="List Bullet"/>
    <w:basedOn w:val="Normal"/>
    <w:uiPriority w:val="99"/>
    <w:unhideWhenUsed/>
    <w:rsid w:val="00EB6548"/>
    <w:pPr>
      <w:numPr>
        <w:numId w:val="1"/>
      </w:numPr>
      <w:spacing w:after="6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B654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B6548"/>
    <w:rPr>
      <w:rFonts w:ascii="Calibri" w:hAnsi="Calibri" w:cs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B654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548"/>
    <w:rPr>
      <w:rFonts w:ascii="Calibri" w:hAnsi="Calibri" w:cs="Calibri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EB6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802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2026-09-21T03:59:00Z</dcterms:created>
  <dcterms:modified xsi:type="dcterms:W3CDTF">2026-09-21T03:59:00Z</dcterms:modified>
</cp:coreProperties>
</file>