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40" w:lineRule="auto"/>
        <w:rPr/>
      </w:pPr>
      <w:bookmarkStart w:colFirst="0" w:colLast="0" w:name="_d4iu5fdwtqw9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a87b00"/>
          <w:sz w:val="18"/>
          <w:szCs w:val="18"/>
          <w:rtl w:val="0"/>
        </w:rPr>
        <w:t xml:space="preserve">PLANTILLA PARA DILIGENCIAR · UNIDAD 3 · SESIÓN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44"/>
          <w:szCs w:val="44"/>
          <w:rtl w:val="0"/>
        </w:rPr>
        <w:t xml:space="preserve">Ingeniería de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ffcc29" w:space="10" w:sz="18" w:val="single"/>
        </w:pBdr>
        <w:spacing w:after="26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Identificación de stakeholders y matriz de poder-interés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20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Diligencien esta plantilla con su propio proyecto real, siguiendo el método de la guía teórica (secciones 2 y 3) y el mismo razonamiento del Ejemplo resuelto sobre el proyecto PQRS.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ffcc29" w:space="0" w:sz="6" w:val="single"/>
          <w:left w:color="e0ac0e" w:space="0" w:sz="24" w:val="single"/>
          <w:bottom w:color="ffcc29" w:space="0" w:sz="6" w:val="single"/>
          <w:right w:color="ffcc29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shd w:fill="fff6d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a1a1a"/>
                <w:sz w:val="21"/>
                <w:szCs w:val="21"/>
                <w:rtl w:val="0"/>
              </w:rPr>
              <w:t xml:space="preserve">Cómo diligenciar esta plantilla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Poder e interés se puntúan de 1 (no aplica / no le afecta) a 5 (autoridad para cancelar el proyecto / el resultado lo afecta directamente todos los días). Cada puntaje debe llevar una frase de evidencia — no basta con el número. Revisen la lista final contra el checklist de categorías de la guía antes de darla por completa.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keepNext w:val="1"/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Nombre del proyecto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Proyecto Grupo 04 · Panadería-cafetería de barrio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Equipo e integrantes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afafaf"/>
                <w:sz w:val="19"/>
                <w:szCs w:val="19"/>
                <w:rtl w:val="0"/>
              </w:rPr>
              <w:t xml:space="preserve">Nombre completo — usuario de GitHub, por cada integrante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Juan Leon — JuanLeon-UPTC</w:t>
              <w:br w:type="textWrapping"/>
              <w:t xml:space="preserve">Emanuel Caro — emanuel-caro</w:t>
              <w:br w:type="textWrapping"/>
              <w:t xml:space="preserve">Javier Santiago Jimenez — semillita23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20 de septiembre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Identificación de stakeholders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Apliquen mapeo organizacional y la técnica de bola de nieve ("¿quién más debería opinar sobre esto?") hasta llegar a saturación, y revisen la lista contra el checklist de categorías de la guía teórica.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3000"/>
        <w:gridCol w:w="3160"/>
        <w:tblGridChange w:id="0">
          <w:tblGrid>
            <w:gridCol w:w="3200"/>
            <w:gridCol w:w="3000"/>
            <w:gridCol w:w="3160"/>
          </w:tblGrid>
        </w:tblGridChange>
      </w:tblGrid>
      <w:tr>
        <w:trPr>
          <w:cantSplit w:val="1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Cómo se identificó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Dueño del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Patrocinador y alta dirección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Mapeo organizacional y charla real con el propietario del negocio.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Panadero principal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Usuario / operador directo; posible stakeholder "negativo" (pierde el "ojo" como criterio de producción)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Mapeo organizacional y bola de nieve: el propietario lo nombra ante la pregunta "¿quién más sabe cómo funciona esto por dentro?".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Cajera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Usuario / operador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Mapeo organizacional y bola de nieve (ronda 1, igual que el panadero principal).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Usuario final afectado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Checklist de categorías: usuario final del negocio, que no aparece en ningún organigrama.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Soporte técnico externo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Área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Checklist de categorías: "área técnica" no tenía representante; se pregunta "¿quién instala y mantiene los equipos y la conexión del local?".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DIAN (ente de control 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Ente regulador o de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Checklist de categorías y charla real: el negocio usa una registradora normal, no electrónica.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Matriz de poder-interés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Para cada stakeholder de la tabla anterior, asignen un puntaje de poder y de interés (1-5) con su justificación, y determinen el cuadrante y la estrategia de gestión correspondiente.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600"/>
        <w:gridCol w:w="2600"/>
        <w:gridCol w:w="1300"/>
        <w:gridCol w:w="1060"/>
        <w:tblGridChange w:id="0">
          <w:tblGrid>
            <w:gridCol w:w="1800"/>
            <w:gridCol w:w="2600"/>
            <w:gridCol w:w="2600"/>
            <w:gridCol w:w="1300"/>
            <w:gridCol w:w="1060"/>
          </w:tblGrid>
        </w:tblGridChange>
      </w:tblGrid>
      <w:tr>
        <w:trPr>
          <w:cantSplit w:val="1"/>
          <w:tblHeader w:val="1"/>
        </w:trPr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Poder (1-5)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Interés (1-5) y evidencia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Cuadrante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1a1a" w:val="clear"/>
            <w:tcMar>
              <w:top w:w="90.0" w:type="dxa"/>
              <w:left w:w="120.0" w:type="dxa"/>
              <w:bottom w:w="9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Estrategia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Dueño del negocio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5: Decide producción, descontinuación de productos y compras, y puede aprobar o cancelar 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4: El resultado cambia su operación diaria y ya opinó abiertamente en la charla inicial.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Alto poder, alto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Panadero principal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3: Sin autoridad formal, pero domina la producción y el dueño confía en su criterio; puede frenar la adopción si no usa el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5: Cambia cómo decide cuánto hornear, hoy "a ojo".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Alto poder, alto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Gestionar de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Cajera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2: No decide alcance ni presupuesto y su opinión pesa poco.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4: Usaría el sistema todos los días si reemplaza la registradora.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Bajo poder, alto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Mantener informado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2: No participa en decisiones; su única palanca es dejar de comprar.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2: Notaría rapidez o disponibilidad, pero no depende del sistema ni tiene canal para opinar (sin redes sociales ni registro de clientes).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Bajo poder, bajo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Soporte técnico externo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2: Puede retrasar la instalación o el arreglo de equipos, pero no decide alcance ni presupuesto.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2: Interviene solo cuando lo llaman y no depende del resultado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Bajo poder, bajo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Monitorear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DIAN (ente de control externo)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4: Como autoridad tributaria, puede exigir sus obligaciones al negocio y sancionar su incumplimiento.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1: No sigue este proyecto; solo importaría si el registro de ventas se usara para facturar, algo que queda fuera de esta fase.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Alto poder, bajo interés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17"/>
                <w:szCs w:val="17"/>
                <w:rtl w:val="0"/>
              </w:rPr>
              <w:t xml:space="preserve">Mantener satisfecho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bottom w:color="ffcc29" w:space="6" w:sz="8" w:val="single"/>
        </w:pBdr>
        <w:spacing w:after="160" w:before="420" w:lineRule="auto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a87b00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Cambria" w:cs="Cambria" w:eastAsia="Cambria" w:hAnsi="Cambria"/>
          <w:b w:val="1"/>
          <w:bCs w:val="1"/>
          <w:color w:val="1a1a1a"/>
          <w:sz w:val="30"/>
          <w:szCs w:val="30"/>
          <w:rtl w:val="0"/>
        </w:rPr>
        <w:t xml:space="preserve">Resumen por cuadrante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spacing w:after="16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 la matriz ya puntuada, listen qué stakeholders cayeron en cada cuadrante — esto facilita planear la comunicación del proyecto de un vistazo.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e2e2e2" w:space="0" w:sz="4" w:val="single"/>
          <w:left w:color="e2e2e2" w:space="0" w:sz="4" w:val="single"/>
          <w:bottom w:color="e2e2e2" w:space="0" w:sz="4" w:val="single"/>
          <w:right w:color="e2e2e2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0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Alto poder, alto interés — Gestionar de cerca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Dueño del negocio · Panadero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2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Alto poder, bajo interés — Mantener satisfecho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DIAN (ente de control externo)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Bajo poder, alto interés — Mantener informado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Cajera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4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56">
            <w:pPr>
              <w:spacing w:after="7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87b00"/>
                <w:sz w:val="19"/>
                <w:szCs w:val="19"/>
                <w:rtl w:val="0"/>
              </w:rPr>
              <w:t xml:space="preserve">Bajo poder, bajo interés — Monitorear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bottom w:color="e2e2e2" w:space="4" w:sz="4" w:val="single"/>
              </w:pBdr>
              <w:spacing w:after="13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19"/>
                <w:szCs w:val="19"/>
                <w:rtl w:val="0"/>
              </w:rPr>
              <w:t xml:space="preserve">Cliente · Soporte técnico externo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f5f5f"/>
          <w:sz w:val="19"/>
          <w:szCs w:val="19"/>
          <w:rtl w:val="0"/>
        </w:rPr>
        <w:t xml:space="preserve">Este documento se sube al repositorio del equipo en 01-kickoff/matriz-poder-interes.md (o como este mismo archivo), por pull request — con al menos un commit propio de cada integrante y revisión cruzada antes de fusionar.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30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Bdr>
        <w:top w:color="e2e2e2" w:space="6" w:sz="4" w:val="single"/>
      </w:pBdr>
      <w:tabs>
        <w:tab w:val="right" w:leader="none" w:pos="9026"/>
      </w:tabs>
      <w:rPr/>
    </w:pPr>
    <w:r w:rsidDel="00000000" w:rsidR="00000000" w:rsidRPr="00000000">
      <w:rPr>
        <w:rFonts w:ascii="Calibri" w:cs="Calibri" w:eastAsia="Calibri" w:hAnsi="Calibri"/>
        <w:color w:val="5f5f5f"/>
        <w:sz w:val="16"/>
        <w:szCs w:val="16"/>
        <w:rtl w:val="0"/>
      </w:rPr>
      <w:t xml:space="preserve">UPTC · Facultad de Ingeniería</w:t>
      <w:tab/>
      <w:t xml:space="preserve">Identificación de stakeholders y matriz de poder-interés   ·   Página </w:t>
    </w:r>
    <w:r w:rsidDel="00000000" w:rsidR="00000000" w:rsidRPr="00000000">
      <w:rPr>
        <w:rFonts w:ascii="Calibri" w:cs="Calibri" w:eastAsia="Calibri" w:hAnsi="Calibri"/>
        <w:color w:val="5f5f5f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80" w:lineRule="auto"/>
      <w:rPr/>
    </w:pPr>
    <w:r w:rsidDel="00000000" w:rsidR="00000000" w:rsidRPr="00000000">
      <w:rPr/>
      <w:drawing>
        <wp:inline distB="0" distT="0" distL="0" distR="0">
          <wp:extent cx="819150" cy="3810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9150" cy="381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pBdr>
        <w:bottom w:color="ffcc29" w:space="4" w:sz="10" w:val="single"/>
      </w:pBdr>
      <w:spacing w:after="200" w:lineRule="auto"/>
      <w:rPr/>
    </w:pPr>
    <w:r w:rsidDel="00000000" w:rsidR="00000000" w:rsidRPr="00000000">
      <w:rPr>
        <w:rFonts w:ascii="Cambria" w:cs="Cambria" w:eastAsia="Cambria" w:hAnsi="Cambria"/>
        <w:b w:val="1"/>
        <w:bCs w:val="1"/>
        <w:color w:val="5f5f5f"/>
        <w:sz w:val="15"/>
        <w:szCs w:val="15"/>
        <w:rtl w:val="0"/>
      </w:rPr>
      <w:t xml:space="preserve">INGENIERÍA DE REQUISITOS</w:t>
    </w:r>
    <w:r w:rsidDel="00000000" w:rsidR="00000000" w:rsidRPr="00000000">
      <w:rPr>
        <w:rFonts w:ascii="Cambria" w:cs="Cambria" w:eastAsia="Cambria" w:hAnsi="Cambria"/>
        <w:i w:val="1"/>
        <w:iCs w:val="1"/>
        <w:color w:val="5f5f5f"/>
        <w:sz w:val="15"/>
        <w:szCs w:val="15"/>
        <w:rtl w:val="0"/>
      </w:rPr>
      <w:t xml:space="preserve">   ·   Unidad 3 · Sesión 1 · Plantilla para diligenciar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O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