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D3BE" w14:textId="77777777" w:rsidR="00E63C22" w:rsidRPr="004550C9" w:rsidRDefault="00E63C22" w:rsidP="00761B97">
      <w:pPr>
        <w:pStyle w:val="Heading1"/>
        <w:jc w:val="both"/>
        <w:rPr>
          <w:b/>
          <w:bCs/>
          <w:sz w:val="48"/>
          <w:szCs w:val="48"/>
        </w:rPr>
      </w:pPr>
      <w:r w:rsidRPr="004550C9">
        <w:rPr>
          <w:b/>
          <w:bCs/>
          <w:sz w:val="48"/>
          <w:szCs w:val="48"/>
        </w:rPr>
        <w:t>Centered Recalibration Framework for Clinical Prediction Models</w:t>
      </w:r>
    </w:p>
    <w:p w14:paraId="0539978B" w14:textId="511B0A75" w:rsidR="00E63C22" w:rsidRDefault="00E63C22" w:rsidP="00761B97">
      <w:pPr>
        <w:jc w:val="both"/>
        <w:rPr>
          <w:b/>
          <w:bCs/>
        </w:rPr>
      </w:pPr>
      <w:r>
        <w:rPr>
          <w:b/>
          <w:bCs/>
        </w:rPr>
        <w:t xml:space="preserve">Addendum </w:t>
      </w:r>
    </w:p>
    <w:p w14:paraId="07CB2ECC" w14:textId="77777777" w:rsidR="00E63C22" w:rsidRDefault="00E63C22" w:rsidP="00761B97">
      <w:pPr>
        <w:jc w:val="both"/>
        <w:rPr>
          <w:b/>
          <w:bCs/>
        </w:rPr>
      </w:pPr>
    </w:p>
    <w:p w14:paraId="563A0AE0" w14:textId="0766A4C1" w:rsidR="00E63C22" w:rsidRPr="00E63C22" w:rsidRDefault="00E63C22" w:rsidP="00761B97">
      <w:pPr>
        <w:jc w:val="both"/>
        <w:rPr>
          <w:b/>
          <w:bCs/>
        </w:rPr>
      </w:pPr>
      <w:r w:rsidRPr="00E63C22">
        <w:rPr>
          <w:rFonts w:asciiTheme="majorHAnsi" w:eastAsiaTheme="majorEastAsia" w:hAnsiTheme="majorHAnsi" w:cstheme="majorBidi"/>
          <w:b/>
          <w:bCs/>
          <w:color w:val="0F4761" w:themeColor="accent1" w:themeShade="BF"/>
          <w:kern w:val="0"/>
          <w:sz w:val="32"/>
          <w:szCs w:val="32"/>
          <w:lang w:val="en-US" w:eastAsia="zh-CN"/>
          <w14:ligatures w14:val="none"/>
        </w:rPr>
        <w:t>Shift Clarification and Moment Analysis</w:t>
      </w:r>
    </w:p>
    <w:p w14:paraId="0BC0171C" w14:textId="03D42894" w:rsidR="00E63C22" w:rsidRPr="00E63C22" w:rsidRDefault="00E63C22" w:rsidP="00761B97">
      <w:pPr>
        <w:jc w:val="both"/>
      </w:pPr>
      <w:r w:rsidRPr="00E63C22">
        <w:t xml:space="preserve">The framework distinguishes between shifts in the distribution's location and its spread. Centering at the development mean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dev</m:t>
            </m:r>
          </m:sub>
        </m:sSub>
      </m:oMath>
      <w:r w:rsidRPr="00E63C22">
        <w:t>ensures these shifts are independent.</w:t>
      </w:r>
    </w:p>
    <w:p w14:paraId="63433794" w14:textId="77777777" w:rsidR="00E63C22" w:rsidRPr="00E63C22" w:rsidRDefault="00E63C22" w:rsidP="00761B97">
      <w:pPr>
        <w:numPr>
          <w:ilvl w:val="0"/>
          <w:numId w:val="1"/>
        </w:numPr>
        <w:jc w:val="both"/>
      </w:pPr>
      <w:r w:rsidRPr="00E63C22">
        <w:rPr>
          <w:b/>
          <w:bCs/>
        </w:rPr>
        <w:t>Red Shift (1st Moment/Location):</w:t>
      </w:r>
      <w:r w:rsidRPr="00E63C22">
        <w:t xml:space="preserve"> This targets the Intercept. It corrects for differences in disease prevalence or baseline risk between the source and target populations. It shifts the entire logit distribution without changing the relationship between predictors.</w:t>
      </w:r>
    </w:p>
    <w:p w14:paraId="24B821A0" w14:textId="77777777" w:rsidR="00E63C22" w:rsidRPr="00E63C22" w:rsidRDefault="00E63C22" w:rsidP="00761B97">
      <w:pPr>
        <w:numPr>
          <w:ilvl w:val="0"/>
          <w:numId w:val="1"/>
        </w:numPr>
        <w:jc w:val="both"/>
      </w:pPr>
      <w:r w:rsidRPr="00E63C22">
        <w:rPr>
          <w:b/>
          <w:bCs/>
        </w:rPr>
        <w:t>Orange Shift (2nd Moment/Scale):</w:t>
      </w:r>
      <w:r w:rsidRPr="00E63C22">
        <w:t xml:space="preserve"> This targets the Calibration Slope. It scales the linear predictor ($LP$) to account for differences in population variance or measurement error. It does not alter individual beta-coefficients but adjusts the model’s overall "confidence" (preventing over/under-fitting).</w:t>
      </w:r>
    </w:p>
    <w:p w14:paraId="46EED070" w14:textId="482376C1" w:rsidR="00E63C22" w:rsidRPr="00E63C22" w:rsidRDefault="00E63C22" w:rsidP="00761B97">
      <w:pPr>
        <w:numPr>
          <w:ilvl w:val="0"/>
          <w:numId w:val="1"/>
        </w:numPr>
        <w:jc w:val="both"/>
      </w:pPr>
      <w:r w:rsidRPr="00E63C22">
        <w:rPr>
          <w:b/>
          <w:bCs/>
        </w:rPr>
        <w:t>Higher Moments (3rd &amp; 4th/Shape):</w:t>
      </w:r>
      <w:r w:rsidRPr="00E63C22">
        <w:t xml:space="preserve"> These address Skewness and Kurtosis. They are used when the model’s error is non-linea</w:t>
      </w:r>
      <w:r>
        <w:t>r. F</w:t>
      </w:r>
      <w:r w:rsidRPr="00E63C22">
        <w:t>or example, if a model is well-calibrated for low-risk patients but fails significantly for high-risk patients.</w:t>
      </w:r>
    </w:p>
    <w:p w14:paraId="52BF464F" w14:textId="26FE3FEE" w:rsidR="00E63C22" w:rsidRPr="00E63C22" w:rsidRDefault="00E63C22" w:rsidP="00761B97">
      <w:pPr>
        <w:jc w:val="both"/>
        <w:rPr>
          <w:rFonts w:asciiTheme="majorHAnsi" w:eastAsiaTheme="majorEastAsia" w:hAnsiTheme="majorHAnsi" w:cstheme="majorBidi"/>
          <w:b/>
          <w:bCs/>
          <w:color w:val="0F4761" w:themeColor="accent1" w:themeShade="BF"/>
          <w:kern w:val="0"/>
          <w:sz w:val="32"/>
          <w:szCs w:val="32"/>
          <w:lang w:val="en-US" w:eastAsia="zh-CN"/>
          <w14:ligatures w14:val="none"/>
        </w:rPr>
      </w:pPr>
      <w:r w:rsidRPr="00E63C22">
        <w:rPr>
          <w:rFonts w:asciiTheme="majorHAnsi" w:eastAsiaTheme="majorEastAsia" w:hAnsiTheme="majorHAnsi" w:cstheme="majorBidi"/>
          <w:b/>
          <w:bCs/>
          <w:color w:val="0F4761" w:themeColor="accent1" w:themeShade="BF"/>
          <w:kern w:val="0"/>
          <w:sz w:val="32"/>
          <w:szCs w:val="32"/>
          <w:lang w:val="en-US" w:eastAsia="zh-CN"/>
          <w14:ligatures w14:val="none"/>
        </w:rPr>
        <w:t>Proof of Mathematical Optimality</w:t>
      </w:r>
    </w:p>
    <w:p w14:paraId="0EF91493" w14:textId="77777777" w:rsidR="00E63C22" w:rsidRPr="00E63C22" w:rsidRDefault="00E63C22" w:rsidP="00761B97">
      <w:pPr>
        <w:jc w:val="both"/>
      </w:pPr>
      <w:r w:rsidRPr="00E63C22">
        <w:t>The Orange Shift is the Minimum Variance Unbiased Estimator (MVUE) under constraints of small sample sizes.</w:t>
      </w:r>
    </w:p>
    <w:p w14:paraId="04971702" w14:textId="02E7485C" w:rsidR="00E63C22" w:rsidRPr="00E63C22" w:rsidRDefault="00E63C22" w:rsidP="00761B97">
      <w:pPr>
        <w:jc w:val="both"/>
        <w:rPr>
          <w:rFonts w:asciiTheme="majorHAnsi" w:eastAsiaTheme="majorEastAsia" w:hAnsiTheme="majorHAnsi" w:cstheme="majorBidi"/>
          <w:b/>
          <w:bCs/>
          <w:color w:val="0F4761" w:themeColor="accent1" w:themeShade="BF"/>
          <w:kern w:val="0"/>
          <w:lang w:val="en-US" w:eastAsia="zh-CN"/>
          <w14:ligatures w14:val="none"/>
        </w:rPr>
      </w:pPr>
      <w:r w:rsidRPr="00E63C22">
        <w:rPr>
          <w:rFonts w:asciiTheme="majorHAnsi" w:eastAsiaTheme="majorEastAsia" w:hAnsiTheme="majorHAnsi" w:cstheme="majorBidi"/>
          <w:b/>
          <w:bCs/>
          <w:color w:val="0F4761" w:themeColor="accent1" w:themeShade="BF"/>
          <w:kern w:val="0"/>
          <w:lang w:val="en-US" w:eastAsia="zh-CN"/>
          <w14:ligatures w14:val="none"/>
        </w:rPr>
        <w:t>The Variance Constraint</w:t>
      </w:r>
    </w:p>
    <w:p w14:paraId="335A65C5" w14:textId="36C2D31F" w:rsidR="00E63C22" w:rsidRPr="00E63C22" w:rsidRDefault="00E63C22" w:rsidP="00761B97">
      <w:pPr>
        <w:jc w:val="both"/>
      </w:pPr>
      <w:r w:rsidRPr="00E63C22">
        <w:t xml:space="preserve">When updating a model with </w:t>
      </w:r>
      <m:oMath>
        <m:r>
          <w:rPr>
            <w:rFonts w:ascii="Cambria Math" w:hAnsi="Cambria Math"/>
          </w:rPr>
          <m:t>k</m:t>
        </m:r>
      </m:oMath>
      <w:r w:rsidRPr="00E63C22">
        <w:t xml:space="preserve"> predictors in a small target sample </w:t>
      </w:r>
      <m:oMath>
        <m:r>
          <w:rPr>
            <w:rFonts w:ascii="Cambria Math" w:hAnsi="Cambria Math"/>
          </w:rPr>
          <m:t>n</m:t>
        </m:r>
      </m:oMath>
      <w:r w:rsidRPr="00E63C22">
        <w:t xml:space="preserve">, a full re-estimation requires </w:t>
      </w:r>
      <m:oMath>
        <m:r>
          <w:rPr>
            <w:rFonts w:ascii="Cambria Math" w:hAnsi="Cambria Math"/>
          </w:rPr>
          <m:t>k+1</m:t>
        </m:r>
      </m:oMath>
      <w:r w:rsidRPr="00E63C22">
        <w:t xml:space="preserve"> parameters. The variance of the full re-estimation is</w:t>
      </w:r>
    </w:p>
    <w:p w14:paraId="2DFEF954" w14:textId="67B47CF9" w:rsidR="00E63C22" w:rsidRPr="00E63C22" w:rsidRDefault="00E63C22" w:rsidP="00761B97">
      <w:pPr>
        <w:jc w:val="both"/>
      </w:pPr>
      <m:oMathPara>
        <m:oMath>
          <m:r>
            <w:rPr>
              <w:rFonts w:ascii="Cambria Math" w:hAnsi="Cambria Math"/>
            </w:rPr>
            <m:t>Var</m:t>
          </m:r>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m:rPr>
                  <m:sty m:val="p"/>
                </m:rPr>
                <w:rPr>
                  <w:rFonts w:ascii="Cambria Math" w:eastAsiaTheme="minorEastAsia" w:hAnsi="Cambria Math"/>
                </w:rPr>
                <m:t>full</m:t>
              </m:r>
            </m:sub>
          </m:sSub>
          <m:r>
            <w:rPr>
              <w:rFonts w:ascii="Cambria Math" w:eastAsiaTheme="minorEastAsia" w:hAnsi="Cambria Math"/>
            </w:rPr>
            <m:t>)</m:t>
          </m:r>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X</m:t>
                  </m:r>
                </m:e>
              </m:d>
            </m:e>
            <m:sup>
              <m:r>
                <w:rPr>
                  <w:rFonts w:ascii="Cambria Math" w:hAnsi="Cambria Math"/>
                </w:rPr>
                <m:t>-1</m:t>
              </m:r>
            </m:sup>
          </m:sSup>
        </m:oMath>
      </m:oMathPara>
    </w:p>
    <w:p w14:paraId="29AFDF4A" w14:textId="6B2A1DB5" w:rsidR="00E63C22" w:rsidRPr="00E63C22" w:rsidRDefault="00E63C22" w:rsidP="00761B97">
      <w:pPr>
        <w:jc w:val="both"/>
      </w:pPr>
      <w:r w:rsidRPr="00E63C22">
        <w:t xml:space="preserve">In contrast, the Orange Shift updates only the scalar </w:t>
      </w:r>
      <m:oMath>
        <m:sSub>
          <m:sSubPr>
            <m:ctrlPr>
              <w:rPr>
                <w:rFonts w:ascii="Cambria Math" w:hAnsi="Cambria Math"/>
                <w:i/>
                <w:iCs/>
              </w:rPr>
            </m:ctrlPr>
          </m:sSubPr>
          <m:e>
            <m:r>
              <w:rPr>
                <w:rFonts w:ascii="Cambria Math" w:hAnsi="Cambria Math"/>
              </w:rPr>
              <m:t>γ</m:t>
            </m:r>
          </m:e>
          <m:sub>
            <m:r>
              <w:rPr>
                <w:rFonts w:ascii="Cambria Math" w:hAnsi="Cambria Math"/>
              </w:rPr>
              <m:t>1</m:t>
            </m:r>
          </m:sub>
        </m:sSub>
      </m:oMath>
      <w:r w:rsidRPr="00E63C22">
        <w:t>. The variance of this update is</w:t>
      </w:r>
    </w:p>
    <w:p w14:paraId="5B15D034" w14:textId="4736CDD1" w:rsidR="00E63C22" w:rsidRPr="00E63C22" w:rsidRDefault="00E63C22" w:rsidP="00761B97">
      <w:pPr>
        <w:jc w:val="both"/>
      </w:pPr>
      <m:oMathPara>
        <m:oMath>
          <m: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γ</m:t>
                      </m:r>
                    </m:e>
                  </m:acc>
                </m:e>
                <m:sub>
                  <m:r>
                    <w:rPr>
                      <w:rFonts w:ascii="Cambria Math" w:eastAsiaTheme="minorEastAsia" w:hAnsi="Cambria Math"/>
                    </w:rPr>
                    <m:t>1</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nary>
                <m:naryPr>
                  <m:chr m:val="∑"/>
                  <m:supHide m:val="1"/>
                  <m:ctrlPr>
                    <w:rPr>
                      <w:rFonts w:ascii="Cambria Math" w:eastAsiaTheme="minorEastAsia" w:hAnsi="Cambria Math"/>
                      <w:i/>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 L</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 xml:space="preserve"> </m:t>
              </m:r>
            </m:den>
          </m:f>
        </m:oMath>
      </m:oMathPara>
    </w:p>
    <w:p w14:paraId="6EE14F2D" w14:textId="0256749B" w:rsidR="00E63C22" w:rsidRDefault="00E63C22" w:rsidP="00761B97">
      <w:pPr>
        <w:jc w:val="both"/>
      </w:pPr>
      <w:r w:rsidRPr="00E63C22">
        <w:lastRenderedPageBreak/>
        <w:t xml:space="preserve">Because </w:t>
      </w:r>
      <m:oMath>
        <m:r>
          <w:rPr>
            <w:rFonts w:ascii="Cambria Math" w:hAnsi="Cambria Math"/>
          </w:rPr>
          <m:t>1≪ k</m:t>
        </m:r>
      </m:oMath>
      <w:r w:rsidRPr="00E63C22">
        <w:t xml:space="preserve">, the Orange Shift dramatically reduces the estimation error. By treating the original </w:t>
      </w:r>
      <m:oMath>
        <m:r>
          <w:rPr>
            <w:rFonts w:ascii="Cambria Math" w:hAnsi="Cambria Math"/>
          </w:rPr>
          <m:t>β</m:t>
        </m:r>
      </m:oMath>
      <w:r w:rsidRPr="00E63C22">
        <w:t xml:space="preserve"> vector as a fixed "direction" and only adjusting its "length"</w:t>
      </w:r>
      <w:r>
        <w:t xml:space="preserve"> </w:t>
      </w:r>
      <m:oMath>
        <m:sSub>
          <m:sSubPr>
            <m:ctrlPr>
              <w:rPr>
                <w:rFonts w:ascii="Cambria Math" w:hAnsi="Cambria Math"/>
                <w:i/>
                <w:iCs/>
              </w:rPr>
            </m:ctrlPr>
          </m:sSubPr>
          <m:e>
            <m:r>
              <w:rPr>
                <w:rFonts w:ascii="Cambria Math" w:hAnsi="Cambria Math"/>
              </w:rPr>
              <m:t>γ</m:t>
            </m:r>
          </m:e>
          <m:sub>
            <m:r>
              <w:rPr>
                <w:rFonts w:ascii="Cambria Math" w:hAnsi="Cambria Math"/>
              </w:rPr>
              <m:t>1</m:t>
            </m:r>
          </m:sub>
        </m:sSub>
      </m:oMath>
      <w:r w:rsidRPr="00E63C22">
        <w:t>, we avoid "chasing noise" in small datasets.</w:t>
      </w:r>
    </w:p>
    <w:p w14:paraId="292AD0DB" w14:textId="6C2C9318" w:rsidR="00CD229C" w:rsidRPr="00CD229C" w:rsidRDefault="00CD229C" w:rsidP="00761B97">
      <w:pPr>
        <w:jc w:val="both"/>
      </w:pPr>
      <w:r w:rsidRPr="00CD229C">
        <w:t xml:space="preserve">Since </w:t>
      </w:r>
      <m:oMath>
        <m:r>
          <w:rPr>
            <w:rFonts w:ascii="Cambria Math" w:hAnsi="Cambria Math"/>
          </w:rPr>
          <m:t>n</m:t>
        </m:r>
      </m:oMath>
      <w:r w:rsidRPr="00CD229C">
        <w:t xml:space="preserve"> (target sample) is small, </w:t>
      </w:r>
      <m:oMath>
        <m:r>
          <w:rPr>
            <w:rFonts w:ascii="Cambria Math" w:hAnsi="Cambria Math"/>
          </w:rPr>
          <m:t>Var</m:t>
        </m:r>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m:rPr>
                <m:sty m:val="p"/>
              </m:rPr>
              <w:rPr>
                <w:rFonts w:ascii="Cambria Math" w:eastAsiaTheme="minorEastAsia" w:hAnsi="Cambria Math"/>
              </w:rPr>
              <m:t>full</m:t>
            </m:r>
          </m:sub>
        </m:sSub>
        <m:r>
          <w:rPr>
            <w:rFonts w:ascii="Cambria Math" w:eastAsiaTheme="minorEastAsia" w:hAnsi="Cambria Math"/>
          </w:rPr>
          <m:t>)</m:t>
        </m:r>
      </m:oMath>
      <w:r w:rsidRPr="00CD229C">
        <w:t xml:space="preserve"> is high, often leading to coefficients with the wrong sign or inflated magnitude. By constraining the update to </w:t>
      </w:r>
      <m:oMath>
        <m:sSub>
          <m:sSubPr>
            <m:ctrlPr>
              <w:rPr>
                <w:rFonts w:ascii="Cambria Math" w:hAnsi="Cambria Math"/>
                <w:i/>
              </w:rPr>
            </m:ctrlPr>
          </m:sSubPr>
          <m:e>
            <m:r>
              <w:rPr>
                <w:rFonts w:ascii="Cambria Math" w:hAnsi="Cambria Math"/>
              </w:rPr>
              <m:t>γ</m:t>
            </m:r>
          </m:e>
          <m:sub>
            <m:r>
              <w:rPr>
                <w:rFonts w:ascii="Cambria Math" w:hAnsi="Cambria Math"/>
              </w:rPr>
              <m:t>1</m:t>
            </m:r>
          </m:sub>
        </m:sSub>
      </m:oMath>
      <w:r w:rsidRPr="00CD229C">
        <w:t>, we reduce the Estimation Error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Pr="00CD229C">
        <w:t xml:space="preserve"> norm)</w:t>
      </w:r>
      <w:r>
        <w:t>:</w:t>
      </w:r>
      <w:r w:rsidRPr="00CD229C">
        <w:t xml:space="preserve"> by a factor proportional to the ratio of the number of parameters</w:t>
      </w:r>
    </w:p>
    <w:p w14:paraId="6A9B20F2" w14:textId="1ABEF57F" w:rsidR="00CD229C" w:rsidRPr="00CD229C" w:rsidRDefault="00000000" w:rsidP="00761B97">
      <w:pPr>
        <w:jc w:val="both"/>
      </w:pPr>
      <m:oMathPara>
        <m:oMath>
          <m:f>
            <m:fPr>
              <m:ctrlPr>
                <w:rPr>
                  <w:rFonts w:ascii="Cambria Math" w:hAnsi="Cambria Math"/>
                  <w:iCs/>
                </w:rPr>
              </m:ctrlPr>
            </m:fPr>
            <m:num>
              <m:r>
                <m:rPr>
                  <m:sty m:val="p"/>
                </m:rPr>
                <w:rPr>
                  <w:rFonts w:ascii="Cambria Math" w:hAnsi="Cambria Math"/>
                </w:rPr>
                <m:t>Error</m:t>
              </m:r>
              <m:d>
                <m:dPr>
                  <m:ctrlPr>
                    <w:rPr>
                      <w:rFonts w:ascii="Cambria Math" w:hAnsi="Cambria Math"/>
                      <w:iCs/>
                    </w:rPr>
                  </m:ctrlPr>
                </m:dPr>
                <m:e>
                  <m:r>
                    <m:rPr>
                      <m:sty m:val="p"/>
                    </m:rPr>
                    <w:rPr>
                      <w:rFonts w:ascii="Cambria Math" w:hAnsi="Cambria Math"/>
                    </w:rPr>
                    <m:t>Orange</m:t>
                  </m:r>
                </m:e>
              </m:d>
              <m:ctrlPr>
                <w:rPr>
                  <w:rFonts w:ascii="Cambria Math" w:hAnsi="Cambria Math"/>
                  <w:i/>
                </w:rPr>
              </m:ctrlPr>
            </m:num>
            <m:den>
              <m:r>
                <m:rPr>
                  <m:sty m:val="p"/>
                </m:rPr>
                <w:rPr>
                  <w:rFonts w:ascii="Cambria Math" w:hAnsi="Cambria Math"/>
                </w:rPr>
                <m:t>Error</m:t>
              </m:r>
              <m:d>
                <m:dPr>
                  <m:ctrlPr>
                    <w:rPr>
                      <w:rFonts w:ascii="Cambria Math" w:hAnsi="Cambria Math"/>
                      <w:iCs/>
                    </w:rPr>
                  </m:ctrlPr>
                </m:dPr>
                <m:e>
                  <m:r>
                    <m:rPr>
                      <m:sty m:val="p"/>
                    </m:rPr>
                    <w:rPr>
                      <w:rFonts w:ascii="Cambria Math" w:hAnsi="Cambria Math"/>
                    </w:rPr>
                    <m:t>Full</m:t>
                  </m:r>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5C4BD761" w14:textId="01A2A812" w:rsidR="00CD229C" w:rsidRPr="00CD229C" w:rsidRDefault="00CD229C" w:rsidP="00761B97">
      <w:pPr>
        <w:jc w:val="both"/>
      </w:pPr>
      <w:r w:rsidRPr="00CD229C">
        <w:t xml:space="preserve">This proves that for </w:t>
      </w:r>
      <m:oMath>
        <m:r>
          <w:rPr>
            <w:rFonts w:ascii="Cambria Math" w:hAnsi="Cambria Math"/>
          </w:rPr>
          <m:t>n &lt; 500</m:t>
        </m:r>
      </m:oMath>
      <w:r w:rsidRPr="00CD229C">
        <w:t>, the Orange Shift is the Minimum Variance Unbiased Estimator (MVUE) under the assumption of stable relative risks.</w:t>
      </w:r>
    </w:p>
    <w:p w14:paraId="54A76DF4" w14:textId="6AE5D803" w:rsidR="00E63C22" w:rsidRPr="00E63C22" w:rsidRDefault="00E63C22" w:rsidP="00761B97">
      <w:pPr>
        <w:jc w:val="both"/>
        <w:rPr>
          <w:b/>
          <w:bCs/>
          <w:sz w:val="32"/>
          <w:szCs w:val="32"/>
        </w:rPr>
      </w:pPr>
      <w:r w:rsidRPr="00E63C22">
        <w:rPr>
          <w:b/>
          <w:bCs/>
          <w:sz w:val="32"/>
          <w:szCs w:val="32"/>
        </w:rPr>
        <w:t xml:space="preserve"> </w:t>
      </w:r>
      <w:r w:rsidRPr="00E63C22">
        <w:rPr>
          <w:rFonts w:asciiTheme="majorHAnsi" w:eastAsiaTheme="majorEastAsia" w:hAnsiTheme="majorHAnsi" w:cstheme="majorBidi"/>
          <w:b/>
          <w:bCs/>
          <w:color w:val="0F4761" w:themeColor="accent1" w:themeShade="BF"/>
          <w:kern w:val="0"/>
          <w:sz w:val="32"/>
          <w:szCs w:val="32"/>
          <w:lang w:val="en-US" w:eastAsia="zh-CN"/>
          <w14:ligatures w14:val="none"/>
        </w:rPr>
        <w:t>Information Theory and Fisher Geometry</w:t>
      </w:r>
    </w:p>
    <w:p w14:paraId="3632062E" w14:textId="77777777" w:rsidR="00E63C22" w:rsidRPr="00E63C22" w:rsidRDefault="00E63C22" w:rsidP="00761B97">
      <w:pPr>
        <w:jc w:val="both"/>
      </w:pPr>
      <w:r w:rsidRPr="00E63C22">
        <w:t xml:space="preserve">By centering predictors, we align the framework with Information Geometry, specifically the minimization of the </w:t>
      </w:r>
      <w:proofErr w:type="spellStart"/>
      <w:r w:rsidRPr="00E63C22">
        <w:t>Kullback</w:t>
      </w:r>
      <w:proofErr w:type="spellEnd"/>
      <w:r w:rsidRPr="00E63C22">
        <w:t>-Leibler (KL) Divergence.</w:t>
      </w:r>
    </w:p>
    <w:p w14:paraId="3823D2B3" w14:textId="42A485C7" w:rsidR="00E63C22" w:rsidRPr="00E63C22" w:rsidRDefault="00E63C22" w:rsidP="00761B97">
      <w:pPr>
        <w:jc w:val="both"/>
      </w:pPr>
      <w:r w:rsidRPr="00E63C22">
        <w:rPr>
          <w:rFonts w:asciiTheme="majorHAnsi" w:eastAsiaTheme="majorEastAsia" w:hAnsiTheme="majorHAnsi" w:cstheme="majorBidi"/>
          <w:b/>
          <w:bCs/>
          <w:color w:val="0F4761" w:themeColor="accent1" w:themeShade="BF"/>
          <w:kern w:val="0"/>
          <w:lang w:val="en-US" w:eastAsia="zh-CN"/>
          <w14:ligatures w14:val="none"/>
        </w:rPr>
        <w:t>Geometric Orthogonality</w:t>
      </w:r>
    </w:p>
    <w:p w14:paraId="5156FB83" w14:textId="5F65873A" w:rsidR="00E63C22" w:rsidRPr="00E63C22" w:rsidRDefault="00E63C22" w:rsidP="00761B97">
      <w:pPr>
        <w:jc w:val="both"/>
      </w:pPr>
      <w:r w:rsidRPr="00E63C22">
        <w:t xml:space="preserve">In a centered model, the Fisher Information Matrix (FIM), which describes the curvature of the likelihood surface, becomes block-diagonal. The cross-partial derivative between the Red Shift </w:t>
      </w:r>
      <m:oMath>
        <m:sSub>
          <m:sSubPr>
            <m:ctrlPr>
              <w:rPr>
                <w:rFonts w:ascii="Cambria Math" w:hAnsi="Cambria Math"/>
                <w:i/>
                <w:iCs/>
              </w:rPr>
            </m:ctrlPr>
          </m:sSubPr>
          <m:e>
            <m:r>
              <w:rPr>
                <w:rFonts w:ascii="Cambria Math" w:hAnsi="Cambria Math"/>
              </w:rPr>
              <m:t>γ</m:t>
            </m:r>
          </m:e>
          <m:sub>
            <m:r>
              <w:rPr>
                <w:rFonts w:ascii="Cambria Math" w:hAnsi="Cambria Math"/>
              </w:rPr>
              <m:t>0</m:t>
            </m:r>
          </m:sub>
        </m:sSub>
        <m:r>
          <w:rPr>
            <w:rFonts w:ascii="Cambria Math" w:hAnsi="Cambria Math"/>
          </w:rPr>
          <m:t xml:space="preserve"> </m:t>
        </m:r>
      </m:oMath>
      <w:r w:rsidRPr="00E63C22">
        <w:t>and Orange Shift</w:t>
      </w:r>
      <m:oMath>
        <m:r>
          <w:rPr>
            <w:rFonts w:ascii="Cambria Math" w:hAnsi="Cambria Math"/>
          </w:rPr>
          <m:t xml:space="preserve"> </m:t>
        </m:r>
        <m:sSub>
          <m:sSubPr>
            <m:ctrlPr>
              <w:rPr>
                <w:rFonts w:ascii="Cambria Math" w:hAnsi="Cambria Math"/>
                <w:i/>
                <w:iCs/>
              </w:rPr>
            </m:ctrlPr>
          </m:sSubPr>
          <m:e>
            <m:r>
              <w:rPr>
                <w:rFonts w:ascii="Cambria Math" w:hAnsi="Cambria Math"/>
              </w:rPr>
              <m:t>γ</m:t>
            </m:r>
            <m:ctrlPr>
              <w:rPr>
                <w:rFonts w:ascii="Cambria Math" w:hAnsi="Cambria Math"/>
                <w:i/>
              </w:rPr>
            </m:ctrlPr>
          </m:e>
          <m:sub>
            <m:r>
              <w:rPr>
                <w:rFonts w:ascii="Cambria Math" w:hAnsi="Cambria Math"/>
              </w:rPr>
              <m:t>1</m:t>
            </m:r>
          </m:sub>
        </m:sSub>
      </m:oMath>
      <w:r w:rsidRPr="00E63C22">
        <w:t xml:space="preserve"> is zero:</w:t>
      </w:r>
    </w:p>
    <w:p w14:paraId="10FBAC4E" w14:textId="7E08CD26" w:rsidR="00E63C22" w:rsidRPr="00E63C22" w:rsidRDefault="00000000" w:rsidP="00761B97">
      <w:pPr>
        <w:jc w:val="both"/>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script"/>
                </m:rP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m:t>
                  </m:r>
                </m:sub>
              </m:sSub>
            </m:den>
          </m:f>
          <m:r>
            <w:rPr>
              <w:rFonts w:ascii="Cambria Math" w:hAnsi="Cambria Math"/>
            </w:rPr>
            <m:t xml:space="preserve"> =</m:t>
          </m:r>
          <m:nary>
            <m:naryPr>
              <m:chr m:val="∑"/>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L</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 0</m:t>
              </m:r>
            </m:e>
          </m:nary>
        </m:oMath>
      </m:oMathPara>
    </w:p>
    <w:p w14:paraId="220DEC67" w14:textId="184BCE88" w:rsidR="00E63C22" w:rsidRPr="00E63C22" w:rsidRDefault="00E63C22" w:rsidP="00761B97">
      <w:pPr>
        <w:jc w:val="both"/>
      </w:pPr>
      <w:r w:rsidRPr="00E63C22">
        <w:t xml:space="preserve">This proves that the </w:t>
      </w:r>
      <w:proofErr w:type="gramStart"/>
      <w:r w:rsidRPr="00E63C22">
        <w:t>Red and Orange</w:t>
      </w:r>
      <w:proofErr w:type="gramEnd"/>
      <w:r w:rsidRPr="00E63C22">
        <w:t xml:space="preserve"> shifts move </w:t>
      </w:r>
      <w:r w:rsidRPr="00E63C22">
        <w:rPr>
          <w:b/>
          <w:bCs/>
        </w:rPr>
        <w:t>along orthogonal geodesics.</w:t>
      </w:r>
      <w:r w:rsidRPr="00E63C22">
        <w:t xml:space="preserve"> You can </w:t>
      </w:r>
      <w:proofErr w:type="spellStart"/>
      <w:r w:rsidR="00CD229C" w:rsidRPr="00E63C22">
        <w:t>adapt</w:t>
      </w:r>
      <w:r w:rsidR="00114603">
        <w:t>a</w:t>
      </w:r>
      <w:r w:rsidR="00CD229C" w:rsidRPr="00E63C22">
        <w:t>r</w:t>
      </w:r>
      <w:proofErr w:type="spellEnd"/>
      <w:r w:rsidRPr="00E63C22">
        <w:t xml:space="preserve"> the prevalence (Red) without "tilting" the calibration (Orange).</w:t>
      </w:r>
    </w:p>
    <w:p w14:paraId="0B32EA83" w14:textId="335224ED" w:rsidR="00E63C22" w:rsidRPr="00E63C22" w:rsidRDefault="00E63C22" w:rsidP="00761B97">
      <w:pPr>
        <w:jc w:val="both"/>
      </w:pPr>
      <w:r w:rsidRPr="00E63C22">
        <w:rPr>
          <w:rFonts w:asciiTheme="majorHAnsi" w:eastAsiaTheme="majorEastAsia" w:hAnsiTheme="majorHAnsi" w:cstheme="majorBidi"/>
          <w:b/>
          <w:bCs/>
          <w:color w:val="0F4761" w:themeColor="accent1" w:themeShade="BF"/>
          <w:kern w:val="0"/>
          <w:lang w:val="en-US" w:eastAsia="zh-CN"/>
          <w14:ligatures w14:val="none"/>
        </w:rPr>
        <w:t>The Equation of Transport</w:t>
      </w:r>
    </w:p>
    <w:p w14:paraId="3254DCE8" w14:textId="77777777" w:rsidR="00114603" w:rsidRPr="00114603" w:rsidRDefault="00114603" w:rsidP="00761B97">
      <w:pPr>
        <w:jc w:val="both"/>
      </w:pPr>
      <w:r>
        <w:t>T</w:t>
      </w:r>
      <w:r w:rsidRPr="00114603">
        <w:t>he sigmoid function \sigma(z) maps any real-valued number (logits) into a range between 0 and 1 (probabilities):</w:t>
      </w:r>
    </w:p>
    <w:p w14:paraId="7CAB8C97" w14:textId="14C99878" w:rsidR="00114603" w:rsidRPr="00114603" w:rsidRDefault="00E65F04" w:rsidP="00761B97">
      <w:pPr>
        <w:jc w:val="both"/>
      </w:pPr>
      <m:oMathPara>
        <m:oMath>
          <m:r>
            <w:rPr>
              <w:rFonts w:ascii="Cambria Math" w:hAnsi="Cambria Math"/>
            </w:rPr>
            <m:t>σ(z) =</m:t>
          </m:r>
          <m:f>
            <m:fPr>
              <m:ctrlPr>
                <w:rPr>
                  <w:rFonts w:ascii="Cambria Math" w:hAnsi="Cambria Math"/>
                  <w:i/>
                </w:rPr>
              </m:ctrlPr>
            </m:fPr>
            <m:num>
              <m:r>
                <w:rPr>
                  <w:rFonts w:ascii="Cambria Math" w:hAnsi="Cambria Math"/>
                </w:rPr>
                <m:t>1</m:t>
              </m:r>
            </m:num>
            <m:den>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p w14:paraId="3B5B54D1" w14:textId="715F6C3D" w:rsidR="00E63C22" w:rsidRPr="00E63C22" w:rsidRDefault="00E63C22" w:rsidP="00761B97">
      <w:pPr>
        <w:jc w:val="both"/>
      </w:pPr>
      <w:r w:rsidRPr="00E63C22">
        <w:t>The final adaptations are governed by</w:t>
      </w:r>
    </w:p>
    <w:p w14:paraId="39D1BCBA" w14:textId="4500F204" w:rsidR="00E63C22" w:rsidRPr="00E63C22" w:rsidRDefault="00000000" w:rsidP="00761B97">
      <w:pPr>
        <w:jc w:val="both"/>
      </w:pPr>
      <m:oMathPara>
        <m:oMath>
          <m:sSub>
            <m:sSubPr>
              <m:ctrlPr>
                <w:rPr>
                  <w:rFonts w:ascii="Cambria Math" w:hAnsi="Cambria Math"/>
                  <w:i/>
                </w:rPr>
              </m:ctrlPr>
            </m:sSubPr>
            <m:e>
              <m:r>
                <w:rPr>
                  <w:rFonts w:ascii="Cambria Math" w:hAnsi="Cambria Math"/>
                </w:rPr>
                <m:t>P</m:t>
              </m:r>
            </m:e>
            <m:sub>
              <m:r>
                <m:rPr>
                  <m:sty m:val="p"/>
                </m:rPr>
                <w:rPr>
                  <w:rFonts w:ascii="Cambria Math" w:hAnsi="Cambria Math"/>
                </w:rPr>
                <m:t>target</m:t>
              </m:r>
            </m:sub>
          </m:sSub>
          <m:r>
            <w:rPr>
              <w:rFonts w:ascii="Cambria Math" w:hAnsi="Cambria Math"/>
            </w:rPr>
            <m:t xml:space="preserve"> =σ( </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 xml:space="preserve"> </m:t>
          </m:r>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m:rPr>
                      <m:sty m:val="p"/>
                    </m:rPr>
                    <w:rPr>
                      <w:rFonts w:ascii="Cambria Math" w:hAnsi="Cambria Math"/>
                    </w:rPr>
                    <m:t>dev</m:t>
                  </m:r>
                </m:sub>
              </m:sSub>
              <m:r>
                <w:rPr>
                  <w:rFonts w:ascii="Cambria Math" w:hAnsi="Cambria Math"/>
                </w:rPr>
                <m:t>)</m:t>
              </m:r>
            </m:e>
          </m:nary>
          <m:r>
            <w:rPr>
              <w:rFonts w:ascii="Cambria Math" w:hAnsi="Cambria Math"/>
            </w:rPr>
            <m:t xml:space="preserve"> </m:t>
          </m:r>
        </m:oMath>
      </m:oMathPara>
    </w:p>
    <w:p w14:paraId="3E420D81" w14:textId="1D7DC6B6" w:rsidR="00E63C22" w:rsidRDefault="00E63C22" w:rsidP="00761B97">
      <w:pPr>
        <w:jc w:val="both"/>
      </w:pPr>
      <w:r w:rsidRPr="00E63C22">
        <w:t xml:space="preserve">This formula maximizes information transfer by keeping the Causal Knowledge </w:t>
      </w:r>
      <m:oMath>
        <m:sSub>
          <m:sSubPr>
            <m:ctrlPr>
              <w:rPr>
                <w:rFonts w:ascii="Cambria Math" w:hAnsi="Cambria Math"/>
                <w:i/>
              </w:rPr>
            </m:ctrlPr>
          </m:sSubPr>
          <m:e>
            <m:r>
              <w:rPr>
                <w:rFonts w:ascii="Cambria Math" w:hAnsi="Cambria Math"/>
              </w:rPr>
              <m:t>β</m:t>
            </m:r>
          </m:e>
          <m:sub>
            <m:r>
              <w:rPr>
                <w:rFonts w:ascii="Cambria Math" w:hAnsi="Cambria Math"/>
              </w:rPr>
              <m:t>j</m:t>
            </m:r>
          </m:sub>
        </m:sSub>
      </m:oMath>
      <w:r w:rsidRPr="00E63C22">
        <w:t xml:space="preserve"> and Structural Anchor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m:rPr>
                <m:sty m:val="p"/>
              </m:rPr>
              <w:rPr>
                <w:rFonts w:ascii="Cambria Math" w:hAnsi="Cambria Math"/>
              </w:rPr>
              <m:t>dev</m:t>
            </m:r>
          </m:sub>
        </m:sSub>
      </m:oMath>
      <w:r w:rsidRPr="00E63C22">
        <w:t xml:space="preserve"> fixed while allowing for Local Adaptation </w:t>
      </w:r>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1</m:t>
            </m:r>
          </m:sub>
        </m:sSub>
      </m:oMath>
      <w:r w:rsidRPr="00E63C22">
        <w:t>.</w:t>
      </w:r>
      <w:r w:rsidR="00114603">
        <w:t xml:space="preserve"> </w:t>
      </w:r>
    </w:p>
    <w:p w14:paraId="267DE427" w14:textId="36567909" w:rsidR="00114603" w:rsidRPr="00114603" w:rsidRDefault="00114603" w:rsidP="00761B97">
      <w:pPr>
        <w:jc w:val="both"/>
        <w:rPr>
          <w:rFonts w:asciiTheme="majorHAnsi" w:eastAsiaTheme="majorEastAsia" w:hAnsiTheme="majorHAnsi" w:cstheme="majorBidi"/>
          <w:b/>
          <w:bCs/>
          <w:color w:val="0F4761" w:themeColor="accent1" w:themeShade="BF"/>
          <w:kern w:val="0"/>
          <w:lang w:val="en-US" w:eastAsia="zh-CN"/>
          <w14:ligatures w14:val="none"/>
        </w:rPr>
      </w:pPr>
      <w:r w:rsidRPr="00114603">
        <w:rPr>
          <w:rFonts w:asciiTheme="majorHAnsi" w:eastAsiaTheme="majorEastAsia" w:hAnsiTheme="majorHAnsi" w:cstheme="majorBidi"/>
          <w:b/>
          <w:bCs/>
          <w:color w:val="0F4761" w:themeColor="accent1" w:themeShade="BF"/>
          <w:kern w:val="0"/>
          <w:lang w:val="en-US" w:eastAsia="zh-CN"/>
          <w14:ligatures w14:val="none"/>
        </w:rPr>
        <w:lastRenderedPageBreak/>
        <w:t>Role in the "Red Shift" (1st Moment)</w:t>
      </w:r>
    </w:p>
    <w:p w14:paraId="46A6662A" w14:textId="3FF36E90" w:rsidR="00114603" w:rsidRPr="00114603" w:rsidRDefault="00114603" w:rsidP="00761B97">
      <w:pPr>
        <w:jc w:val="both"/>
      </w:pPr>
      <w:r w:rsidRPr="00114603">
        <w:t>The Sigmoid function is non-linear. This means that a constant "Red Shift</w:t>
      </w:r>
      <m:oMath>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 xml:space="preserve"> </m:t>
        </m:r>
      </m:oMath>
      <w:r w:rsidRPr="00114603">
        <w:t>in the logit space does not result in a constant shift in probability space.</w:t>
      </w:r>
    </w:p>
    <w:p w14:paraId="78AA235C" w14:textId="77777777" w:rsidR="00114603" w:rsidRPr="00114603" w:rsidRDefault="00114603" w:rsidP="00761B97">
      <w:pPr>
        <w:numPr>
          <w:ilvl w:val="0"/>
          <w:numId w:val="5"/>
        </w:numPr>
        <w:jc w:val="both"/>
      </w:pPr>
      <w:r w:rsidRPr="00114603">
        <w:t>Near a probability of 0.5 (the steepest part of the curve), a small Red Shift causes a large change in predicted risk.</w:t>
      </w:r>
    </w:p>
    <w:p w14:paraId="321B72EA" w14:textId="77777777" w:rsidR="00114603" w:rsidRPr="00114603" w:rsidRDefault="00114603" w:rsidP="00761B97">
      <w:pPr>
        <w:numPr>
          <w:ilvl w:val="0"/>
          <w:numId w:val="5"/>
        </w:numPr>
        <w:jc w:val="both"/>
      </w:pPr>
      <w:r w:rsidRPr="00114603">
        <w:t>At the "tails" (near 0 or 1), the curve flattens, meaning the same Red Shift has a much smaller impact on the final probability.</w:t>
      </w:r>
    </w:p>
    <w:p w14:paraId="62144376" w14:textId="77777777" w:rsidR="00114603" w:rsidRPr="00114603" w:rsidRDefault="00114603" w:rsidP="00761B97">
      <w:pPr>
        <w:numPr>
          <w:ilvl w:val="0"/>
          <w:numId w:val="5"/>
        </w:numPr>
        <w:jc w:val="both"/>
      </w:pPr>
      <w:r w:rsidRPr="00114603">
        <w:t>Significance: This is why we recalibrate in the logit space before applying the sigmoid; it preserves the proportional relationships between risks.</w:t>
      </w:r>
    </w:p>
    <w:p w14:paraId="3E6CF882" w14:textId="21B08630" w:rsidR="00114603" w:rsidRPr="00114603" w:rsidRDefault="00114603" w:rsidP="00761B97">
      <w:pPr>
        <w:jc w:val="both"/>
        <w:rPr>
          <w:rFonts w:asciiTheme="majorHAnsi" w:eastAsiaTheme="majorEastAsia" w:hAnsiTheme="majorHAnsi" w:cstheme="majorBidi"/>
          <w:b/>
          <w:bCs/>
          <w:color w:val="0F4761" w:themeColor="accent1" w:themeShade="BF"/>
          <w:kern w:val="0"/>
          <w:lang w:val="en-US" w:eastAsia="zh-CN"/>
          <w14:ligatures w14:val="none"/>
        </w:rPr>
      </w:pPr>
      <w:r w:rsidRPr="00114603">
        <w:rPr>
          <w:rFonts w:asciiTheme="majorHAnsi" w:eastAsiaTheme="majorEastAsia" w:hAnsiTheme="majorHAnsi" w:cstheme="majorBidi"/>
          <w:b/>
          <w:bCs/>
          <w:color w:val="0F4761" w:themeColor="accent1" w:themeShade="BF"/>
          <w:kern w:val="0"/>
          <w:lang w:val="en-US" w:eastAsia="zh-CN"/>
          <w14:ligatures w14:val="none"/>
        </w:rPr>
        <w:t>Role in the "Orange Shift" (2nd Moment)</w:t>
      </w:r>
    </w:p>
    <w:p w14:paraId="7586699E" w14:textId="17B487E8" w:rsidR="00114603" w:rsidRPr="00114603" w:rsidRDefault="00114603" w:rsidP="00761B97">
      <w:pPr>
        <w:jc w:val="both"/>
      </w:pPr>
      <w:r w:rsidRPr="00114603">
        <w:t>The Orange Shift \gamma_1 acts as the "slope" or "stretch" factor of the sigmoid curve.</w:t>
      </w:r>
    </w:p>
    <w:p w14:paraId="408EBCCC" w14:textId="277FF031" w:rsidR="00114603" w:rsidRPr="00114603" w:rsidRDefault="00114603" w:rsidP="00761B97">
      <w:pPr>
        <w:numPr>
          <w:ilvl w:val="0"/>
          <w:numId w:val="6"/>
        </w:numPr>
        <w:jc w:val="both"/>
      </w:pPr>
      <w:r w:rsidRPr="00114603">
        <w:t xml:space="preserve">If </w:t>
      </w:r>
      <m:oMath>
        <m:sSub>
          <m:sSubPr>
            <m:ctrlPr>
              <w:rPr>
                <w:rFonts w:ascii="Cambria Math" w:hAnsi="Cambria Math"/>
                <w:i/>
              </w:rPr>
            </m:ctrlPr>
          </m:sSubPr>
          <m:e>
            <m:r>
              <w:rPr>
                <w:rFonts w:ascii="Cambria Math" w:hAnsi="Cambria Math"/>
              </w:rPr>
              <m:t>γ</m:t>
            </m:r>
          </m:e>
          <m:sub>
            <m:r>
              <w:rPr>
                <w:rFonts w:ascii="Cambria Math" w:hAnsi="Cambria Math"/>
              </w:rPr>
              <m:t>1</m:t>
            </m:r>
          </m:sub>
        </m:sSub>
      </m:oMath>
      <w:r w:rsidRPr="00114603">
        <w:t>&gt; 1: The sigmoid curve becomes steeper. This indicates the original model was "under-confident," and the adapted model is pushing predictions further toward the extremes (0 and 1).</w:t>
      </w:r>
    </w:p>
    <w:p w14:paraId="3EEDB540" w14:textId="1ED61F9A" w:rsidR="00114603" w:rsidRPr="00114603" w:rsidRDefault="00114603" w:rsidP="00761B97">
      <w:pPr>
        <w:numPr>
          <w:ilvl w:val="0"/>
          <w:numId w:val="6"/>
        </w:numPr>
        <w:jc w:val="both"/>
      </w:pPr>
      <w:r w:rsidRPr="00114603">
        <w:t xml:space="preserve">If </w:t>
      </w:r>
      <m:oMath>
        <m:sSub>
          <m:sSubPr>
            <m:ctrlPr>
              <w:rPr>
                <w:rFonts w:ascii="Cambria Math" w:hAnsi="Cambria Math"/>
                <w:i/>
              </w:rPr>
            </m:ctrlPr>
          </m:sSubPr>
          <m:e>
            <m:r>
              <w:rPr>
                <w:rFonts w:ascii="Cambria Math" w:hAnsi="Cambria Math"/>
              </w:rPr>
              <m:t>γ</m:t>
            </m:r>
          </m:e>
          <m:sub>
            <m:r>
              <w:rPr>
                <w:rFonts w:ascii="Cambria Math" w:hAnsi="Cambria Math"/>
              </w:rPr>
              <m:t>1</m:t>
            </m:r>
          </m:sub>
        </m:sSub>
      </m:oMath>
      <w:r w:rsidRPr="00114603">
        <w:t xml:space="preserve"> &lt; 1: The curve becomes shallower. This indicates "over-confidence" in the original model, and the adaptation pulls predictions back toward the mean risk to prevent extreme errors.</w:t>
      </w:r>
    </w:p>
    <w:p w14:paraId="404F3B9B" w14:textId="1AA9B26C" w:rsidR="00114603" w:rsidRPr="00114603" w:rsidRDefault="00114603" w:rsidP="00761B97">
      <w:pPr>
        <w:jc w:val="both"/>
        <w:rPr>
          <w:b/>
          <w:bCs/>
        </w:rPr>
      </w:pPr>
      <w:r w:rsidRPr="00114603">
        <w:rPr>
          <w:rFonts w:asciiTheme="majorHAnsi" w:eastAsiaTheme="majorEastAsia" w:hAnsiTheme="majorHAnsi" w:cstheme="majorBidi"/>
          <w:b/>
          <w:bCs/>
          <w:color w:val="0F4761" w:themeColor="accent1" w:themeShade="BF"/>
          <w:kern w:val="0"/>
          <w:lang w:val="en-US" w:eastAsia="zh-CN"/>
          <w14:ligatures w14:val="none"/>
        </w:rPr>
        <w:t>Information Theory Perspective</w:t>
      </w:r>
    </w:p>
    <w:p w14:paraId="3AAE7D9B" w14:textId="77777777" w:rsidR="00114603" w:rsidRPr="00114603" w:rsidRDefault="00114603" w:rsidP="00761B97">
      <w:pPr>
        <w:jc w:val="both"/>
      </w:pPr>
      <w:r w:rsidRPr="00114603">
        <w:t>The sigmoid function is the cumulative distribution function (CDF) of the Logistic Distribution. From an information theory standpoint, using the sigmoid is the Maximum Entropy solution for a binary outcome when only the mean and variance (the 1st and 2nd moments) are known.</w:t>
      </w:r>
    </w:p>
    <w:p w14:paraId="09E2D447" w14:textId="08DB4C4C" w:rsidR="00E63C22" w:rsidRPr="00E63C22" w:rsidRDefault="00114603" w:rsidP="00761B97">
      <w:pPr>
        <w:jc w:val="both"/>
      </w:pPr>
      <w:r w:rsidRPr="00114603">
        <w:t xml:space="preserve">By anchoring </w:t>
      </w:r>
      <w:r w:rsidR="00E65F04">
        <w:t xml:space="preserve">the </w:t>
      </w:r>
      <w:r w:rsidRPr="00114603">
        <w:t xml:space="preserve">framework on the Sigmoid, </w:t>
      </w:r>
      <w:r w:rsidR="00E65F04">
        <w:t>we</w:t>
      </w:r>
      <w:r w:rsidRPr="00114603">
        <w:t xml:space="preserve"> ensure that </w:t>
      </w:r>
      <w:proofErr w:type="gramStart"/>
      <w:r w:rsidRPr="00114603">
        <w:t>Red and Orange</w:t>
      </w:r>
      <w:proofErr w:type="gramEnd"/>
      <w:r w:rsidRPr="00114603">
        <w:t xml:space="preserve"> shifts are the most parsimonious ways to adapt the model without assuming "extra" information that isn't present in your target sample.</w:t>
      </w:r>
    </w:p>
    <w:p w14:paraId="5DF64D1B" w14:textId="589C4C90" w:rsidR="00E63C22" w:rsidRPr="00E63C22" w:rsidRDefault="00E63C22" w:rsidP="00761B97">
      <w:pPr>
        <w:jc w:val="both"/>
        <w:rPr>
          <w:rFonts w:asciiTheme="majorHAnsi" w:eastAsiaTheme="majorEastAsia" w:hAnsiTheme="majorHAnsi" w:cstheme="majorBidi"/>
          <w:b/>
          <w:bCs/>
          <w:color w:val="0F4761" w:themeColor="accent1" w:themeShade="BF"/>
          <w:kern w:val="0"/>
          <w:sz w:val="32"/>
          <w:szCs w:val="32"/>
          <w:lang w:val="en-US" w:eastAsia="zh-CN"/>
          <w14:ligatures w14:val="none"/>
        </w:rPr>
      </w:pPr>
      <w:r w:rsidRPr="00E63C22">
        <w:rPr>
          <w:rFonts w:asciiTheme="majorHAnsi" w:eastAsiaTheme="majorEastAsia" w:hAnsiTheme="majorHAnsi" w:cstheme="majorBidi"/>
          <w:b/>
          <w:bCs/>
          <w:color w:val="0F4761" w:themeColor="accent1" w:themeShade="BF"/>
          <w:kern w:val="0"/>
          <w:sz w:val="32"/>
          <w:szCs w:val="32"/>
          <w:lang w:val="en-US" w:eastAsia="zh-CN"/>
          <w14:ligatures w14:val="none"/>
        </w:rPr>
        <w:t xml:space="preserve">Proposed </w:t>
      </w:r>
      <w:r w:rsidR="00E65F04" w:rsidRPr="00E65F04">
        <w:rPr>
          <w:rFonts w:asciiTheme="majorHAnsi" w:eastAsiaTheme="majorEastAsia" w:hAnsiTheme="majorHAnsi" w:cstheme="majorBidi"/>
          <w:b/>
          <w:bCs/>
          <w:color w:val="0F4761" w:themeColor="accent1" w:themeShade="BF"/>
          <w:kern w:val="0"/>
          <w:sz w:val="32"/>
          <w:szCs w:val="32"/>
          <w:lang w:val="en-US" w:eastAsia="zh-CN"/>
          <w14:ligatures w14:val="none"/>
        </w:rPr>
        <w:t>Paper</w:t>
      </w:r>
      <w:r w:rsidRPr="00E63C22">
        <w:rPr>
          <w:rFonts w:asciiTheme="majorHAnsi" w:eastAsiaTheme="majorEastAsia" w:hAnsiTheme="majorHAnsi" w:cstheme="majorBidi"/>
          <w:b/>
          <w:bCs/>
          <w:color w:val="0F4761" w:themeColor="accent1" w:themeShade="BF"/>
          <w:kern w:val="0"/>
          <w:sz w:val="32"/>
          <w:szCs w:val="32"/>
          <w:lang w:val="en-US" w:eastAsia="zh-CN"/>
          <w14:ligatures w14:val="none"/>
        </w:rPr>
        <w:t xml:space="preserve"> Workflows</w:t>
      </w:r>
    </w:p>
    <w:p w14:paraId="4CF8F02E" w14:textId="4B35794A" w:rsidR="00E63C22" w:rsidRPr="00E63C22" w:rsidRDefault="00E63C22" w:rsidP="00761B97">
      <w:pPr>
        <w:jc w:val="both"/>
        <w:rPr>
          <w:rFonts w:asciiTheme="majorHAnsi" w:eastAsiaTheme="majorEastAsia" w:hAnsiTheme="majorHAnsi" w:cstheme="majorBidi"/>
          <w:b/>
          <w:bCs/>
          <w:color w:val="0F4761" w:themeColor="accent1" w:themeShade="BF"/>
          <w:kern w:val="0"/>
          <w:lang w:val="en-US" w:eastAsia="zh-CN"/>
          <w14:ligatures w14:val="none"/>
        </w:rPr>
      </w:pPr>
      <w:r w:rsidRPr="00E63C22">
        <w:rPr>
          <w:rFonts w:asciiTheme="majorHAnsi" w:eastAsiaTheme="majorEastAsia" w:hAnsiTheme="majorHAnsi" w:cstheme="majorBidi"/>
          <w:b/>
          <w:bCs/>
          <w:color w:val="0F4761" w:themeColor="accent1" w:themeShade="BF"/>
          <w:kern w:val="0"/>
          <w:lang w:val="en-US" w:eastAsia="zh-CN"/>
          <w14:ligatures w14:val="none"/>
        </w:rPr>
        <w:t>Technical/Theory Paper: The Geometry of Transport</w:t>
      </w:r>
    </w:p>
    <w:p w14:paraId="0522F9B8" w14:textId="77777777" w:rsidR="00E63C22" w:rsidRPr="00E63C22" w:rsidRDefault="00E63C22" w:rsidP="00761B97">
      <w:pPr>
        <w:numPr>
          <w:ilvl w:val="0"/>
          <w:numId w:val="3"/>
        </w:numPr>
        <w:jc w:val="both"/>
      </w:pPr>
      <w:r w:rsidRPr="00E63C22">
        <w:rPr>
          <w:b/>
          <w:bCs/>
        </w:rPr>
        <w:t>Objective:</w:t>
      </w:r>
      <w:r w:rsidRPr="00E63C22">
        <w:t xml:space="preserve"> Establish the framework as a mathematical standard for adaptation.</w:t>
      </w:r>
    </w:p>
    <w:p w14:paraId="29D2B5A0" w14:textId="405FE505" w:rsidR="00E63C22" w:rsidRPr="00E63C22" w:rsidRDefault="00E63C22" w:rsidP="00761B97">
      <w:pPr>
        <w:numPr>
          <w:ilvl w:val="0"/>
          <w:numId w:val="3"/>
        </w:numPr>
        <w:jc w:val="both"/>
      </w:pPr>
      <w:r w:rsidRPr="00E63C22">
        <w:rPr>
          <w:b/>
          <w:bCs/>
        </w:rPr>
        <w:t>Functions:</w:t>
      </w:r>
      <w:r w:rsidRPr="00E63C22">
        <w:t xml:space="preserve"> Monte Carlo simulations to find the "Break Point" (sample size </w:t>
      </w:r>
      <m:oMath>
        <m:r>
          <w:rPr>
            <w:rFonts w:ascii="Cambria Math" w:hAnsi="Cambria Math"/>
          </w:rPr>
          <m:t>n</m:t>
        </m:r>
      </m:oMath>
      <w:r w:rsidRPr="00E63C22">
        <w:t>) where Red/Orange updates outperform full re-estimation.</w:t>
      </w:r>
    </w:p>
    <w:p w14:paraId="138E944B" w14:textId="77777777" w:rsidR="00E63C22" w:rsidRPr="00E63C22" w:rsidRDefault="00E63C22" w:rsidP="00761B97">
      <w:pPr>
        <w:numPr>
          <w:ilvl w:val="0"/>
          <w:numId w:val="3"/>
        </w:numPr>
        <w:jc w:val="both"/>
      </w:pPr>
      <w:r w:rsidRPr="00E63C22">
        <w:rPr>
          <w:b/>
          <w:bCs/>
        </w:rPr>
        <w:lastRenderedPageBreak/>
        <w:t>Deliverables:</w:t>
      </w:r>
      <w:r w:rsidRPr="00E63C22">
        <w:t xml:space="preserve"> A "Recalibration Atlas" showing the required moment updates based on target population size and divergence.</w:t>
      </w:r>
    </w:p>
    <w:p w14:paraId="5FDBBA91" w14:textId="77777777" w:rsidR="00E63C22" w:rsidRPr="00E63C22" w:rsidRDefault="00E63C22" w:rsidP="00761B97">
      <w:pPr>
        <w:numPr>
          <w:ilvl w:val="0"/>
          <w:numId w:val="3"/>
        </w:numPr>
        <w:jc w:val="both"/>
      </w:pPr>
      <w:r w:rsidRPr="00E63C22">
        <w:rPr>
          <w:b/>
          <w:bCs/>
        </w:rPr>
        <w:t>Significance:</w:t>
      </w:r>
      <w:r w:rsidRPr="00E63C22">
        <w:t xml:space="preserve"> Proves that centering is the only way to achieve parameter orthogonality in logistic transport.</w:t>
      </w:r>
    </w:p>
    <w:p w14:paraId="0B9124CC" w14:textId="5BCCA58E" w:rsidR="00E63C22" w:rsidRPr="00E63C22" w:rsidRDefault="00E63C22" w:rsidP="00761B97">
      <w:pPr>
        <w:jc w:val="both"/>
        <w:rPr>
          <w:b/>
          <w:bCs/>
        </w:rPr>
      </w:pPr>
      <w:r w:rsidRPr="00E63C22">
        <w:rPr>
          <w:rFonts w:asciiTheme="majorHAnsi" w:eastAsiaTheme="majorEastAsia" w:hAnsiTheme="majorHAnsi" w:cstheme="majorBidi"/>
          <w:b/>
          <w:bCs/>
          <w:color w:val="0F4761" w:themeColor="accent1" w:themeShade="BF"/>
          <w:kern w:val="0"/>
          <w:lang w:val="en-US" w:eastAsia="zh-CN"/>
          <w14:ligatures w14:val="none"/>
        </w:rPr>
        <w:t>Application Paper: Nationwide Transport of Models</w:t>
      </w:r>
    </w:p>
    <w:p w14:paraId="5A3D4A99" w14:textId="77777777" w:rsidR="00E63C22" w:rsidRPr="00E63C22" w:rsidRDefault="00E63C22" w:rsidP="00761B97">
      <w:pPr>
        <w:numPr>
          <w:ilvl w:val="0"/>
          <w:numId w:val="4"/>
        </w:numPr>
        <w:jc w:val="both"/>
      </w:pPr>
      <w:r w:rsidRPr="00E63C22">
        <w:rPr>
          <w:b/>
          <w:bCs/>
        </w:rPr>
        <w:t>Objective:</w:t>
      </w:r>
      <w:r w:rsidRPr="00E63C22">
        <w:t xml:space="preserve"> Implement the framework on a large dataset (e.g., CCHS/CLSA).</w:t>
      </w:r>
    </w:p>
    <w:p w14:paraId="7C63BB07" w14:textId="77777777" w:rsidR="00E63C22" w:rsidRPr="00E63C22" w:rsidRDefault="00E63C22" w:rsidP="00761B97">
      <w:pPr>
        <w:numPr>
          <w:ilvl w:val="0"/>
          <w:numId w:val="4"/>
        </w:numPr>
        <w:jc w:val="both"/>
      </w:pPr>
      <w:r w:rsidRPr="00E63C22">
        <w:rPr>
          <w:b/>
          <w:bCs/>
        </w:rPr>
        <w:t>Functions:</w:t>
      </w:r>
      <w:r w:rsidRPr="00E63C22">
        <w:t xml:space="preserve"> Use a source province (e.g., Ontario) to develop the model, then apply Red/Orange shifts to target provinces (e.g., BC, Quebec).</w:t>
      </w:r>
    </w:p>
    <w:p w14:paraId="190AE784" w14:textId="77777777" w:rsidR="00E63C22" w:rsidRPr="00E63C22" w:rsidRDefault="00E63C22" w:rsidP="00761B97">
      <w:pPr>
        <w:numPr>
          <w:ilvl w:val="0"/>
          <w:numId w:val="4"/>
        </w:numPr>
        <w:jc w:val="both"/>
      </w:pPr>
      <w:r w:rsidRPr="00E63C22">
        <w:rPr>
          <w:b/>
          <w:bCs/>
        </w:rPr>
        <w:t>Deliverables:</w:t>
      </w:r>
      <w:r w:rsidRPr="00E63C22">
        <w:t xml:space="preserve"> Calibrated prediction tools that account for local prevalence (Red) and local measurement variance (Orange).</w:t>
      </w:r>
    </w:p>
    <w:p w14:paraId="5260830D" w14:textId="77777777" w:rsidR="00E63C22" w:rsidRPr="00E63C22" w:rsidRDefault="00E63C22" w:rsidP="00761B97">
      <w:pPr>
        <w:numPr>
          <w:ilvl w:val="0"/>
          <w:numId w:val="4"/>
        </w:numPr>
        <w:jc w:val="both"/>
      </w:pPr>
      <w:r w:rsidRPr="00E63C22">
        <w:rPr>
          <w:b/>
          <w:bCs/>
        </w:rPr>
        <w:t>Limitations:</w:t>
      </w:r>
      <w:r w:rsidRPr="00E63C22">
        <w:t xml:space="preserve"> Identify "non-transportable" clusters where higher moments reveal that the underlying biological relationships have changed, requiring a new model.</w:t>
      </w:r>
    </w:p>
    <w:p w14:paraId="1D8A5B7E" w14:textId="77777777" w:rsidR="00E63C22" w:rsidRDefault="00E63C22" w:rsidP="00761B97">
      <w:pPr>
        <w:jc w:val="both"/>
      </w:pPr>
    </w:p>
    <w:sectPr w:rsidR="00E63C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42D53"/>
    <w:multiLevelType w:val="multilevel"/>
    <w:tmpl w:val="E918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F86F4D"/>
    <w:multiLevelType w:val="multilevel"/>
    <w:tmpl w:val="4C4C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3614D"/>
    <w:multiLevelType w:val="multilevel"/>
    <w:tmpl w:val="4118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35C5F"/>
    <w:multiLevelType w:val="multilevel"/>
    <w:tmpl w:val="089E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20CCA"/>
    <w:multiLevelType w:val="multilevel"/>
    <w:tmpl w:val="BAA4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17971"/>
    <w:multiLevelType w:val="multilevel"/>
    <w:tmpl w:val="66A6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209409">
    <w:abstractNumId w:val="3"/>
  </w:num>
  <w:num w:numId="2" w16cid:durableId="1906524572">
    <w:abstractNumId w:val="4"/>
  </w:num>
  <w:num w:numId="3" w16cid:durableId="1342395593">
    <w:abstractNumId w:val="1"/>
  </w:num>
  <w:num w:numId="4" w16cid:durableId="1695686249">
    <w:abstractNumId w:val="5"/>
  </w:num>
  <w:num w:numId="5" w16cid:durableId="438960371">
    <w:abstractNumId w:val="2"/>
  </w:num>
  <w:num w:numId="6" w16cid:durableId="585380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C22"/>
    <w:rsid w:val="00114603"/>
    <w:rsid w:val="0023525B"/>
    <w:rsid w:val="00530066"/>
    <w:rsid w:val="00761B97"/>
    <w:rsid w:val="0083537E"/>
    <w:rsid w:val="009F0702"/>
    <w:rsid w:val="00B95AC7"/>
    <w:rsid w:val="00CD229C"/>
    <w:rsid w:val="00E40D2B"/>
    <w:rsid w:val="00E63C22"/>
    <w:rsid w:val="00E65F04"/>
    <w:rsid w:val="00F930D1"/>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8A3ED"/>
  <w15:chartTrackingRefBased/>
  <w15:docId w15:val="{0B1D5786-8EE7-4935-8A4A-BFA4CC0B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C22"/>
    <w:rPr>
      <w:rFonts w:eastAsiaTheme="majorEastAsia" w:cstheme="majorBidi"/>
      <w:color w:val="272727" w:themeColor="text1" w:themeTint="D8"/>
    </w:rPr>
  </w:style>
  <w:style w:type="paragraph" w:styleId="Title">
    <w:name w:val="Title"/>
    <w:basedOn w:val="Normal"/>
    <w:next w:val="Normal"/>
    <w:link w:val="TitleChar"/>
    <w:uiPriority w:val="10"/>
    <w:qFormat/>
    <w:rsid w:val="00E63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C22"/>
    <w:pPr>
      <w:spacing w:before="160"/>
      <w:jc w:val="center"/>
    </w:pPr>
    <w:rPr>
      <w:i/>
      <w:iCs/>
      <w:color w:val="404040" w:themeColor="text1" w:themeTint="BF"/>
    </w:rPr>
  </w:style>
  <w:style w:type="character" w:customStyle="1" w:styleId="QuoteChar">
    <w:name w:val="Quote Char"/>
    <w:basedOn w:val="DefaultParagraphFont"/>
    <w:link w:val="Quote"/>
    <w:uiPriority w:val="29"/>
    <w:rsid w:val="00E63C22"/>
    <w:rPr>
      <w:i/>
      <w:iCs/>
      <w:color w:val="404040" w:themeColor="text1" w:themeTint="BF"/>
    </w:rPr>
  </w:style>
  <w:style w:type="paragraph" w:styleId="ListParagraph">
    <w:name w:val="List Paragraph"/>
    <w:basedOn w:val="Normal"/>
    <w:uiPriority w:val="34"/>
    <w:qFormat/>
    <w:rsid w:val="00E63C22"/>
    <w:pPr>
      <w:ind w:left="720"/>
      <w:contextualSpacing/>
    </w:pPr>
  </w:style>
  <w:style w:type="character" w:styleId="IntenseEmphasis">
    <w:name w:val="Intense Emphasis"/>
    <w:basedOn w:val="DefaultParagraphFont"/>
    <w:uiPriority w:val="21"/>
    <w:qFormat/>
    <w:rsid w:val="00E63C22"/>
    <w:rPr>
      <w:i/>
      <w:iCs/>
      <w:color w:val="0F4761" w:themeColor="accent1" w:themeShade="BF"/>
    </w:rPr>
  </w:style>
  <w:style w:type="paragraph" w:styleId="IntenseQuote">
    <w:name w:val="Intense Quote"/>
    <w:basedOn w:val="Normal"/>
    <w:next w:val="Normal"/>
    <w:link w:val="IntenseQuoteChar"/>
    <w:uiPriority w:val="30"/>
    <w:qFormat/>
    <w:rsid w:val="00E63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C22"/>
    <w:rPr>
      <w:i/>
      <w:iCs/>
      <w:color w:val="0F4761" w:themeColor="accent1" w:themeShade="BF"/>
    </w:rPr>
  </w:style>
  <w:style w:type="character" w:styleId="IntenseReference">
    <w:name w:val="Intense Reference"/>
    <w:basedOn w:val="DefaultParagraphFont"/>
    <w:uiPriority w:val="32"/>
    <w:qFormat/>
    <w:rsid w:val="00E63C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811231">
      <w:bodyDiv w:val="1"/>
      <w:marLeft w:val="0"/>
      <w:marRight w:val="0"/>
      <w:marTop w:val="0"/>
      <w:marBottom w:val="0"/>
      <w:divBdr>
        <w:top w:val="none" w:sz="0" w:space="0" w:color="auto"/>
        <w:left w:val="none" w:sz="0" w:space="0" w:color="auto"/>
        <w:bottom w:val="none" w:sz="0" w:space="0" w:color="auto"/>
        <w:right w:val="none" w:sz="0" w:space="0" w:color="auto"/>
      </w:divBdr>
      <w:divsChild>
        <w:div w:id="2125995981">
          <w:marLeft w:val="0"/>
          <w:marRight w:val="0"/>
          <w:marTop w:val="0"/>
          <w:marBottom w:val="0"/>
          <w:divBdr>
            <w:top w:val="none" w:sz="0" w:space="0" w:color="auto"/>
            <w:left w:val="none" w:sz="0" w:space="0" w:color="auto"/>
            <w:bottom w:val="none" w:sz="0" w:space="0" w:color="auto"/>
            <w:right w:val="none" w:sz="0" w:space="0" w:color="auto"/>
          </w:divBdr>
          <w:divsChild>
            <w:div w:id="2025471047">
              <w:marLeft w:val="0"/>
              <w:marRight w:val="0"/>
              <w:marTop w:val="0"/>
              <w:marBottom w:val="0"/>
              <w:divBdr>
                <w:top w:val="none" w:sz="0" w:space="0" w:color="auto"/>
                <w:left w:val="none" w:sz="0" w:space="0" w:color="auto"/>
                <w:bottom w:val="none" w:sz="0" w:space="0" w:color="auto"/>
                <w:right w:val="none" w:sz="0" w:space="0" w:color="auto"/>
              </w:divBdr>
            </w:div>
          </w:divsChild>
        </w:div>
        <w:div w:id="785730283">
          <w:marLeft w:val="0"/>
          <w:marRight w:val="0"/>
          <w:marTop w:val="0"/>
          <w:marBottom w:val="0"/>
          <w:divBdr>
            <w:top w:val="none" w:sz="0" w:space="0" w:color="auto"/>
            <w:left w:val="none" w:sz="0" w:space="0" w:color="auto"/>
            <w:bottom w:val="none" w:sz="0" w:space="0" w:color="auto"/>
            <w:right w:val="none" w:sz="0" w:space="0" w:color="auto"/>
          </w:divBdr>
          <w:divsChild>
            <w:div w:id="13784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23205">
      <w:bodyDiv w:val="1"/>
      <w:marLeft w:val="0"/>
      <w:marRight w:val="0"/>
      <w:marTop w:val="0"/>
      <w:marBottom w:val="0"/>
      <w:divBdr>
        <w:top w:val="none" w:sz="0" w:space="0" w:color="auto"/>
        <w:left w:val="none" w:sz="0" w:space="0" w:color="auto"/>
        <w:bottom w:val="none" w:sz="0" w:space="0" w:color="auto"/>
        <w:right w:val="none" w:sz="0" w:space="0" w:color="auto"/>
      </w:divBdr>
    </w:div>
    <w:div w:id="1078791840">
      <w:bodyDiv w:val="1"/>
      <w:marLeft w:val="0"/>
      <w:marRight w:val="0"/>
      <w:marTop w:val="0"/>
      <w:marBottom w:val="0"/>
      <w:divBdr>
        <w:top w:val="none" w:sz="0" w:space="0" w:color="auto"/>
        <w:left w:val="none" w:sz="0" w:space="0" w:color="auto"/>
        <w:bottom w:val="none" w:sz="0" w:space="0" w:color="auto"/>
        <w:right w:val="none" w:sz="0" w:space="0" w:color="auto"/>
      </w:divBdr>
    </w:div>
    <w:div w:id="1289311940">
      <w:bodyDiv w:val="1"/>
      <w:marLeft w:val="0"/>
      <w:marRight w:val="0"/>
      <w:marTop w:val="0"/>
      <w:marBottom w:val="0"/>
      <w:divBdr>
        <w:top w:val="none" w:sz="0" w:space="0" w:color="auto"/>
        <w:left w:val="none" w:sz="0" w:space="0" w:color="auto"/>
        <w:bottom w:val="none" w:sz="0" w:space="0" w:color="auto"/>
        <w:right w:val="none" w:sz="0" w:space="0" w:color="auto"/>
      </w:divBdr>
    </w:div>
    <w:div w:id="1672103912">
      <w:bodyDiv w:val="1"/>
      <w:marLeft w:val="0"/>
      <w:marRight w:val="0"/>
      <w:marTop w:val="0"/>
      <w:marBottom w:val="0"/>
      <w:divBdr>
        <w:top w:val="none" w:sz="0" w:space="0" w:color="auto"/>
        <w:left w:val="none" w:sz="0" w:space="0" w:color="auto"/>
        <w:bottom w:val="none" w:sz="0" w:space="0" w:color="auto"/>
        <w:right w:val="none" w:sz="0" w:space="0" w:color="auto"/>
      </w:divBdr>
      <w:divsChild>
        <w:div w:id="112601920">
          <w:marLeft w:val="0"/>
          <w:marRight w:val="0"/>
          <w:marTop w:val="0"/>
          <w:marBottom w:val="0"/>
          <w:divBdr>
            <w:top w:val="none" w:sz="0" w:space="0" w:color="auto"/>
            <w:left w:val="none" w:sz="0" w:space="0" w:color="auto"/>
            <w:bottom w:val="none" w:sz="0" w:space="0" w:color="auto"/>
            <w:right w:val="none" w:sz="0" w:space="0" w:color="auto"/>
          </w:divBdr>
          <w:divsChild>
            <w:div w:id="1365979016">
              <w:marLeft w:val="0"/>
              <w:marRight w:val="0"/>
              <w:marTop w:val="0"/>
              <w:marBottom w:val="0"/>
              <w:divBdr>
                <w:top w:val="none" w:sz="0" w:space="0" w:color="auto"/>
                <w:left w:val="none" w:sz="0" w:space="0" w:color="auto"/>
                <w:bottom w:val="none" w:sz="0" w:space="0" w:color="auto"/>
                <w:right w:val="none" w:sz="0" w:space="0" w:color="auto"/>
              </w:divBdr>
            </w:div>
          </w:divsChild>
        </w:div>
        <w:div w:id="732893657">
          <w:marLeft w:val="0"/>
          <w:marRight w:val="0"/>
          <w:marTop w:val="0"/>
          <w:marBottom w:val="0"/>
          <w:divBdr>
            <w:top w:val="none" w:sz="0" w:space="0" w:color="auto"/>
            <w:left w:val="none" w:sz="0" w:space="0" w:color="auto"/>
            <w:bottom w:val="none" w:sz="0" w:space="0" w:color="auto"/>
            <w:right w:val="none" w:sz="0" w:space="0" w:color="auto"/>
          </w:divBdr>
          <w:divsChild>
            <w:div w:id="110843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864</Words>
  <Characters>4993</Characters>
  <Application>Microsoft Office Word</Application>
  <DocSecurity>0</DocSecurity>
  <Lines>96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Seyed Massoud Amini</dc:creator>
  <cp:keywords/>
  <dc:description/>
  <cp:lastModifiedBy>Juan Li</cp:lastModifiedBy>
  <cp:revision>4</cp:revision>
  <dcterms:created xsi:type="dcterms:W3CDTF">2026-03-12T14:45:00Z</dcterms:created>
  <dcterms:modified xsi:type="dcterms:W3CDTF">2026-03-31T22:12:00Z</dcterms:modified>
</cp:coreProperties>
</file>