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jc w:val="center"/>
      </w:pPr>
      <w:r>
        <w:rPr>
          <w:rFonts w:ascii="Arial" w:cs="Arial" w:eastAsia="Arial" w:hAnsi="Arial"/>
          <w:b/>
          <w:bCs/>
          <w:color w:val="1B2A4A"/>
          <w:sz w:val="72"/>
          <w:szCs w:val="72"/>
        </w:rPr>
        <w:t xml:space="preserve">BELLMAN CAPITAL</w:t>
      </w:r>
    </w:p>
    <w:p>
      <w:pPr>
        <w:spacing w:after="80" w:before="0"/>
        <w:jc w:val="center"/>
      </w:pPr>
      <w:r>
        <w:rPr>
          <w:rFonts w:ascii="Arial" w:cs="Arial" w:eastAsia="Arial" w:hAnsi="Arial"/>
          <w:color w:val="2E5FA3"/>
          <w:sz w:val="36"/>
          <w:szCs w:val="36"/>
        </w:rPr>
        <w:t xml:space="preserve">Autonomous Portfolio Allocation</w:t>
      </w:r>
    </w:p>
    <w:p>
      <w:pPr>
        <w:spacing w:after="600" w:before="0"/>
        <w:jc w:val="center"/>
      </w:pPr>
      <w:r>
        <w:rPr>
          <w:rFonts w:ascii="Arial" w:cs="Arial" w:eastAsia="Arial" w:hAnsi="Arial"/>
          <w:color w:val="9CA3AF"/>
          <w:sz w:val="24"/>
          <w:szCs w:val="24"/>
        </w:rPr>
        <w:t xml:space="preserve">Guía Metodológica del Equipo — Edición Revisada</w:t>
      </w:r>
    </w:p>
    <w:p>
      <w:pPr>
        <w:pBdr>
          <w:top w:val="single" w:color="2E5FA3" w:sz="6" w:space="4"/>
          <w:bottom w:val="single" w:color="2E5FA3" w:sz="6" w:space="4"/>
        </w:pBdr>
        <w:spacing w:after="600" w:before="0"/>
        <w:jc w:val="center"/>
      </w:pPr>
      <w:r>
        <w:rPr>
          <w:rFonts w:ascii="Arial" w:cs="Arial" w:eastAsia="Arial" w:hAnsi="Arial"/>
          <w:color w:val="1A7A74"/>
          <w:sz w:val="22"/>
          <w:szCs w:val="22"/>
        </w:rPr>
        <w:t xml:space="preserve">Diseño teórico · Entorno · Reward · Evaluación · Plan de trabajo</w:t>
      </w:r>
    </w:p>
    <w:p>
      <w:r>
        <w:br w:type="page"/>
      </w:r>
    </w:p>
    <w:p>
      <w:pPr>
        <w:pStyle w:val="Heading1"/>
        <w:pBdr>
          <w:bottom w:val="single" w:color="2E5FA3" w:sz="8" w:space="4"/>
        </w:pBdr>
        <w:spacing w:after="120" w:before="360"/>
      </w:pPr>
      <w:r>
        <w:rPr>
          <w:rFonts w:ascii="Arial" w:cs="Arial" w:eastAsia="Arial" w:hAnsi="Arial"/>
          <w:b/>
          <w:bCs/>
          <w:color w:val="1B2A4A"/>
          <w:sz w:val="36"/>
          <w:szCs w:val="36"/>
        </w:rPr>
        <w:t xml:space="preserve">0. Equipo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Campo</w:t>
            </w:r>
          </w:p>
        </w:tc>
        <w:tc>
          <w:tcPr>
            <w:tcW w:type="dxa" w:w="6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Por completar</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Codename del agente</w:t>
            </w:r>
          </w:p>
        </w:tc>
        <w:tc>
          <w:tcPr>
            <w:tcW w:type="dxa" w:w="63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Investigadores</w:t>
            </w:r>
          </w:p>
        </w:tc>
        <w:tc>
          <w:tcPr>
            <w:tcW w:type="dxa" w:w="63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Fecha de inicio</w:t>
            </w:r>
          </w:p>
        </w:tc>
        <w:tc>
          <w:tcPr>
            <w:tcW w:type="dxa" w:w="63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w:r>
          </w:p>
        </w:tc>
      </w:tr>
    </w:tbl>
    <w:p>
      <w:pPr>
        <w:spacing w:after="60" w:before="0"/>
      </w:pPr>
      <w:r>
        <w:t xml:space="preserve"/>
      </w:r>
    </w:p>
    <w:p>
      <w:pPr>
        <w:pStyle w:val="Heading3"/>
        <w:spacing w:after="80" w:before="200"/>
      </w:pPr>
      <w:r>
        <w:rPr>
          <w:rFonts w:ascii="Arial" w:cs="Arial" w:eastAsia="Arial" w:hAnsi="Arial"/>
          <w:b/>
          <w:bCs/>
          <w:color w:val="1A7A74"/>
          <w:sz w:val="22"/>
          <w:szCs w:val="22"/>
        </w:rPr>
        <w:t xml:space="preserve">Tesis del agente</w:t>
      </w:r>
    </w:p>
    <w:p>
      <w:pPr>
        <w:spacing w:after="80" w:before="80"/>
      </w:pPr>
      <w:r>
        <w:rPr>
          <w:rFonts w:ascii="Arial" w:cs="Arial" w:eastAsia="Arial" w:hAnsi="Arial"/>
          <w:color w:val="374151"/>
          <w:sz w:val="20"/>
          <w:szCs w:val="20"/>
        </w:rPr>
        <w:t xml:space="preserve">Nuestro agente parte de la hipótesis de que el principal reto en estos mercados no es predecir exactamente el próximo precio, sino identificar cuándo vale la pena asumir riesgo y cuánto riesgo asumir en cada momento.</w:t>
      </w:r>
    </w:p>
    <w:p>
      <w:pPr>
        <w:spacing w:after="80" w:before="80"/>
      </w:pPr>
      <w:r>
        <w:rPr>
          <w:rFonts w:ascii="Arial" w:cs="Arial" w:eastAsia="Arial" w:hAnsi="Arial"/>
          <w:color w:val="374151"/>
          <w:sz w:val="20"/>
          <w:szCs w:val="20"/>
        </w:rPr>
        <w:t xml:space="preserve">La hipótesis principal es volatility clustering: los periodos de alta volatilidad tienden a persistir (fenómeno documentado por Engle, 1982 en el modelo ARCH y consolidado en la literatura de finanzas cuantitativas). Como señal secundaria, el agente observa momentum de corto plazo para detectar si algún activo muestra una tendencia reciente favorable.</w:t>
      </w:r>
    </w:p>
    <w:p>
      <w:pPr>
        <w:spacing w:after="80" w:before="80"/>
      </w:pPr>
      <w:r>
        <w:rPr>
          <w:rFonts w:ascii="Arial" w:cs="Arial" w:eastAsia="Arial" w:hAnsi="Arial"/>
          <w:color w:val="374151"/>
          <w:sz w:val="20"/>
          <w:szCs w:val="20"/>
        </w:rPr>
        <w:t xml:space="preserve">El agente opera sobre datos de 1 hora e incorpora lógica multi-horizonte directamente en su estado: ventanas cortas (4 periodos) para detectar momentum reciente y ventanas largas (24 periodos) para identificar el régimen de volatilidad predominante.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A74"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D4EFED" w:val="clear"/>
            <w:tcMar>
              <w:top w:type="dxa" w:w="120"/>
              <w:left w:type="dxa" w:w="160"/>
              <w:bottom w:type="dxa" w:w="120"/>
              <w:right w:type="dxa" w:w="160"/>
            </w:tcMar>
          </w:tcPr>
          <w:p>
            <w:pPr>
              <w:spacing w:after="60" w:before="0"/>
            </w:pPr>
            <w:r>
              <w:rPr>
                <w:rFonts w:ascii="Arial" w:cs="Arial" w:eastAsia="Arial" w:hAnsi="Arial"/>
                <w:b/>
                <w:bCs/>
                <w:color w:val="1A7A74"/>
                <w:sz w:val="20"/>
                <w:szCs w:val="20"/>
              </w:rPr>
              <w:t xml:space="preserve">Por qué esta tesis importa para el diseño</w:t>
            </w:r>
          </w:p>
          <w:p>
            <w:pPr>
              <w:spacing w:after="40" w:before="0"/>
            </w:pPr>
            <w:r>
              <w:rPr>
                <w:rFonts w:ascii="Arial" w:cs="Arial" w:eastAsia="Arial" w:hAnsi="Arial"/>
                <w:color w:val="374151"/>
                <w:sz w:val="20"/>
                <w:szCs w:val="20"/>
              </w:rPr>
              <w:t xml:space="preserve">La tesis no es un párrafo decorativo: define cuáles features deben estar en el estado (vol rolling, momentum), qué acciones tiene sentido incluir (refugio en cash, exposición gradual), y cómo calibrar el reward (penalizar drawdowns, no solo maximizar retorno). Un agente cuyo reward no está alineado con su tesis va a comportarse de formas difíciles de interpretar durante la evaluación.</w:t>
            </w:r>
          </w:p>
        </w:tc>
      </w:tr>
    </w:tbl>
    <w:p>
      <w:pPr>
        <w:spacing w:after="60" w:before="0"/>
      </w:pPr>
      <w:r>
        <w:t xml:space="preserve"/>
      </w:r>
    </w:p>
    <w:p>
      <w:pPr>
        <w:spacing w:after="60" w:before="0"/>
      </w:pPr>
      <w:r>
        <w:t xml:space="preserve"/>
      </w:r>
    </w:p>
    <w:p>
      <w:pPr>
        <w:pStyle w:val="Heading1"/>
        <w:pBdr>
          <w:bottom w:val="single" w:color="2E5FA3" w:sz="8" w:space="4"/>
        </w:pBdr>
        <w:spacing w:after="120" w:before="360"/>
      </w:pPr>
      <w:r>
        <w:rPr>
          <w:rFonts w:ascii="Arial" w:cs="Arial" w:eastAsia="Arial" w:hAnsi="Arial"/>
          <w:b/>
          <w:bCs/>
          <w:color w:val="1B2A4A"/>
          <w:sz w:val="36"/>
          <w:szCs w:val="36"/>
        </w:rPr>
        <w:t xml:space="preserve">1. Formulación del Problema</w:t>
      </w:r>
    </w:p>
    <w:p>
      <w:pPr>
        <w:pStyle w:val="Heading2"/>
        <w:spacing w:after="100" w:before="280"/>
      </w:pPr>
      <w:r>
        <w:rPr>
          <w:rFonts w:ascii="Arial" w:cs="Arial" w:eastAsia="Arial" w:hAnsi="Arial"/>
          <w:b/>
          <w:bCs/>
          <w:color w:val="2E5FA3"/>
          <w:sz w:val="26"/>
          <w:szCs w:val="26"/>
        </w:rPr>
        <w:t xml:space="preserve">1.1 Temporalidad</w:t>
      </w:r>
    </w:p>
    <w:p>
      <w:pPr>
        <w:spacing w:after="80" w:before="80"/>
      </w:pPr>
      <w:r>
        <w:rPr>
          <w:rFonts w:ascii="Arial" w:cs="Arial" w:eastAsia="Arial" w:hAnsi="Arial"/>
          <w:color w:val="374151"/>
          <w:sz w:val="20"/>
          <w:szCs w:val="20"/>
        </w:rPr>
        <w:t xml:space="preserve">Se usa 1 hora como único intervalo de datos. La lógica multi-horizonte se implementa mediante ventanas de historia de distintos tamaños dentro del vector de estado.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800"/>
        <w:gridCol w:w="356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Horizonte</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Periodos en 1h</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Función en el estado</w:t>
            </w:r>
          </w:p>
        </w:tc>
        <w:tc>
          <w:tcPr>
            <w:tcW w:type="dxa" w:w="3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Justificación teórica</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Corto plazo</w:t>
            </w:r>
          </w:p>
        </w:tc>
        <w:tc>
          <w:tcPr>
            <w:tcW w:type="dxa" w:w="14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4 periodos (4h)</w:t>
            </w:r>
          </w:p>
        </w:tc>
        <w:tc>
          <w:tcPr>
            <w:tcW w:type="dxa" w:w="2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Momentum reciente y confirmación táctica</w:t>
            </w:r>
          </w:p>
        </w:tc>
        <w:tc>
          <w:tcPr>
            <w:tcW w:type="dxa" w:w="35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Captura micro-tendencias. 4 velas es suficiente para detectar una reversión rápida sin incluir ruido.</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Medio plazo</w:t>
            </w:r>
          </w:p>
        </w:tc>
        <w:tc>
          <w:tcPr>
            <w:tcW w:type="dxa" w:w="14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12 periodos (12h)</w:t>
            </w:r>
          </w:p>
        </w:tc>
        <w:tc>
          <w:tcPr>
            <w:tcW w:type="dxa" w:w="2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Tendencia del día</w:t>
            </w:r>
          </w:p>
        </w:tc>
        <w:tc>
          <w:tcPr>
            <w:tcW w:type="dxa" w:w="35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Alinea con el ciclo de trading diario. Permite al agente distinguir una caída intradía de un cambio de tendencia.</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Largo plazo</w:t>
            </w:r>
          </w:p>
        </w:tc>
        <w:tc>
          <w:tcPr>
            <w:tcW w:type="dxa" w:w="14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24 periodos (24h)</w:t>
            </w:r>
          </w:p>
        </w:tc>
        <w:tc>
          <w:tcPr>
            <w:tcW w:type="dxa" w:w="2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Régimen de volatilidad predominante</w:t>
            </w:r>
          </w:p>
        </w:tc>
        <w:tc>
          <w:tcPr>
            <w:tcW w:type="dxa" w:w="35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24 velas horarias = 1 día completo. La std rolling sobre este horizonte es el proxy de régimen defensivo/ofensivo.</w:t>
            </w:r>
          </w:p>
        </w:tc>
      </w:tr>
    </w:tbl>
    <w:p>
      <w:pPr>
        <w:spacing w:after="60" w:before="0"/>
      </w:pPr>
      <w:r>
        <w:t xml:space="preserve"/>
      </w:r>
    </w:p>
    <w:p>
      <w:pPr>
        <w:spacing w:after="60" w:before="0"/>
      </w:pPr>
      <w:r>
        <w:t xml:space="preserve"/>
      </w:r>
    </w:p>
    <w:p>
      <w:pPr>
        <w:pStyle w:val="Heading2"/>
        <w:spacing w:after="100" w:before="280"/>
      </w:pPr>
      <w:r>
        <w:rPr>
          <w:rFonts w:ascii="Arial" w:cs="Arial" w:eastAsia="Arial" w:hAnsi="Arial"/>
          <w:b/>
          <w:bCs/>
          <w:color w:val="2E5FA3"/>
          <w:sz w:val="26"/>
          <w:szCs w:val="26"/>
        </w:rPr>
        <w:t xml:space="preserve">1.2 State Space — Diseño y Justificación Teórica</w:t>
      </w:r>
    </w:p>
    <w:p>
      <w:pPr>
        <w:spacing w:after="80" w:before="80"/>
      </w:pPr>
      <w:r>
        <w:rPr>
          <w:rFonts w:ascii="Arial" w:cs="Arial" w:eastAsia="Arial" w:hAnsi="Arial"/>
          <w:color w:val="374151"/>
          <w:sz w:val="20"/>
          <w:szCs w:val="20"/>
        </w:rPr>
        <w:t xml:space="preserve">La observación del agente en cada paso </w:t>
      </w:r>
      <w:r>
        <w:rPr>
          <w:rFonts w:ascii="Arial" w:cs="Arial" w:eastAsia="Arial" w:hAnsi="Arial"/>
          <w:color w:val="374151"/>
          <w:sz w:val="20"/>
          <w:szCs w:val="20"/>
        </w:rPr>
        <w:t xml:space="preserve">t</w:t>
      </w:r>
      <w:r>
        <w:rPr>
          <w:rFonts w:ascii="Arial" w:cs="Arial" w:eastAsia="Arial" w:hAnsi="Arial"/>
          <w:color w:val="374151"/>
          <w:sz w:val="20"/>
          <w:szCs w:val="20"/>
        </w:rPr>
        <w:t xml:space="preserve"> es un vector de </w:t>
      </w:r>
      <w:r>
        <w:rPr>
          <w:rFonts w:ascii="Arial" w:cs="Arial" w:eastAsia="Arial" w:hAnsi="Arial"/>
          <w:b/>
          <w:bCs/>
          <w:color w:val="374151"/>
          <w:sz w:val="20"/>
          <w:szCs w:val="20"/>
        </w:rPr>
        <w:t xml:space="preserve">31 variables numéricas</w:t>
      </w:r>
      <w:r>
        <w:rPr>
          <w:rFonts w:ascii="Arial" w:cs="Arial" w:eastAsia="Arial" w:hAnsi="Arial"/>
          <w:color w:val="374151"/>
          <w:sz w:val="20"/>
          <w:szCs w:val="20"/>
        </w:rPr>
        <w:t xml:space="preserve">. Todas las features se calculan usando exclusivamente datos disponibles en </w:t>
      </w:r>
      <w:r>
        <w:rPr>
          <w:rFonts w:ascii="Arial" w:cs="Arial" w:eastAsia="Arial" w:hAnsi="Arial"/>
          <w:color w:val="374151"/>
          <w:sz w:val="20"/>
          <w:szCs w:val="20"/>
        </w:rPr>
        <w:t xml:space="preserve">t</w:t>
      </w:r>
      <w:r>
        <w:rPr>
          <w:rFonts w:ascii="Arial" w:cs="Arial" w:eastAsia="Arial" w:hAnsi="Arial"/>
          <w:color w:val="374151"/>
          <w:sz w:val="20"/>
          <w:szCs w:val="20"/>
        </w:rPr>
        <w:t xml:space="preserve"> o anteriores. No se usan datos futuros en ninguna etapa.</w:t>
      </w:r>
    </w:p>
    <w:p>
      <w:pPr>
        <w:spacing w:after="60" w:before="0"/>
      </w:pPr>
      <w:r>
        <w:t xml:space="preserve"/>
      </w:r>
    </w:p>
    <w:p>
      <w:pPr>
        <w:pStyle w:val="Heading3"/>
        <w:spacing w:after="80" w:before="200"/>
      </w:pPr>
      <w:r>
        <w:rPr>
          <w:rFonts w:ascii="Arial" w:cs="Arial" w:eastAsia="Arial" w:hAnsi="Arial"/>
          <w:b/>
          <w:bCs/>
          <w:color w:val="1A7A74"/>
          <w:sz w:val="22"/>
          <w:szCs w:val="22"/>
        </w:rPr>
        <w:t xml:space="preserve">Por qué el estado necesita features derivadas y no solo precios</w:t>
      </w:r>
    </w:p>
    <w:p>
      <w:pPr>
        <w:spacing w:after="80" w:before="80"/>
      </w:pPr>
      <w:r>
        <w:rPr>
          <w:rFonts w:ascii="Arial" w:cs="Arial" w:eastAsia="Arial" w:hAnsi="Arial"/>
          <w:color w:val="374151"/>
          <w:sz w:val="20"/>
          <w:szCs w:val="20"/>
        </w:rPr>
        <w:t xml:space="preserve">Los precios crudos no son Markov. Un precio de 100 en el activo A no le dice al agente nada sobre si ese precio subió desde 80 o bajó desde 120, ni sobre la velocidad de ese movimiento. Para que el proceso de decisión sea aproximadamente Markov, el estado debe incluir información suficiente para que la distribución del próximo estado sea predecible desde el estado actual sin necesitar el historial completo. Los log-returns rolling, la volatilidad y el momentum son proxies compactos de ese historial.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900"/>
        <w:gridCol w:w="1200"/>
        <w:gridCol w:w="900"/>
        <w:gridCol w:w="3660"/>
      </w:tblGrid>
      <w:tr>
        <w:trPr>
          <w:tblHeader/>
        </w:trPr>
        <w:tc>
          <w:tcPr>
            <w:tcW w:type="dxa" w:w="11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Grupo</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9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Activos</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Ventanas</w:t>
            </w:r>
          </w:p>
        </w:tc>
        <w:tc>
          <w:tcPr>
            <w:tcW w:type="dxa" w:w="9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Cantidad</w:t>
            </w:r>
          </w:p>
        </w:tc>
        <w:tc>
          <w:tcPr>
            <w:tcW w:type="dxa" w:w="36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Justificación teórica</w:t>
            </w:r>
          </w:p>
        </w:tc>
      </w:tr>
      <w:tr>
        <w:tc>
          <w:tcPr>
            <w:tcW w:type="dxa" w:w="11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Retornos</w:t>
            </w:r>
          </w:p>
        </w:tc>
        <w:tc>
          <w:tcPr>
            <w:tcW w:type="dxa" w:w="16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log_return por activo</w:t>
            </w:r>
          </w:p>
        </w:tc>
        <w:tc>
          <w:tcPr>
            <w:tcW w:type="dxa" w:w="9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3</w:t>
            </w:r>
          </w:p>
        </w:tc>
        <w:tc>
          <w:tcPr>
            <w:tcW w:type="dxa" w:w="12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 4, 12, 24 periodos</w:t>
            </w:r>
          </w:p>
        </w:tc>
        <w:tc>
          <w:tcPr>
            <w:tcW w:type="dxa" w:w="9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12</w:t>
            </w:r>
          </w:p>
        </w:tc>
        <w:tc>
          <w:tcPr>
            <w:tcW w:type="dxa" w:w="36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Log-return es preferible al retorno simple porque es aditivo en el tiempo y tiene mejor comportamiento estadístico (distribución más cercana a normal). El multi-ventana captura momentum en distintos horizontes.</w:t>
            </w:r>
          </w:p>
        </w:tc>
      </w:tr>
      <w:tr>
        <w:tc>
          <w:tcPr>
            <w:tcW w:type="dxa" w:w="11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Volatilidad</w:t>
            </w:r>
          </w:p>
        </w:tc>
        <w:tc>
          <w:tcPr>
            <w:tcW w:type="dxa" w:w="16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std rolling de retornos</w:t>
            </w:r>
          </w:p>
        </w:tc>
        <w:tc>
          <w:tcPr>
            <w:tcW w:type="dxa" w:w="9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3</w:t>
            </w:r>
          </w:p>
        </w:tc>
        <w:tc>
          <w:tcPr>
            <w:tcW w:type="dxa" w:w="12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12, 24 periodos</w:t>
            </w:r>
          </w:p>
        </w:tc>
        <w:tc>
          <w:tcPr>
            <w:tcW w:type="dxa" w:w="9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6</w:t>
            </w:r>
          </w:p>
        </w:tc>
        <w:tc>
          <w:tcPr>
            <w:tcW w:type="dxa" w:w="36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Proxy directo del régimen de mercado. La hipótesis de volatility clustering implica que una std alta en t predice alta volatilidad en t+1. Es la feature más importante de la tesis.</w:t>
            </w:r>
          </w:p>
        </w:tc>
      </w:tr>
      <w:tr>
        <w:tc>
          <w:tcPr>
            <w:tcW w:type="dxa" w:w="11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Tendencia</w:t>
            </w:r>
          </w:p>
        </w:tc>
        <w:tc>
          <w:tcPr>
            <w:tcW w:type="dxa" w:w="16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distancia a SMA normalizada</w:t>
            </w:r>
          </w:p>
        </w:tc>
        <w:tc>
          <w:tcPr>
            <w:tcW w:type="dxa" w:w="9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3</w:t>
            </w:r>
          </w:p>
        </w:tc>
        <w:tc>
          <w:tcPr>
            <w:tcW w:type="dxa" w:w="12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12, 24 periodos</w:t>
            </w:r>
          </w:p>
        </w:tc>
        <w:tc>
          <w:tcPr>
            <w:tcW w:type="dxa" w:w="9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6</w:t>
            </w:r>
          </w:p>
        </w:tc>
        <w:tc>
          <w:tcPr>
            <w:tcW w:type="dxa" w:w="36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Mide cuánto se ha alejado el precio de su media móvil. Actúa como señal de mean-reversion o continuación de tendencia dependiendo del régimen.</w:t>
            </w:r>
          </w:p>
        </w:tc>
      </w:tr>
      <w:tr>
        <w:tc>
          <w:tcPr>
            <w:tcW w:type="dxa" w:w="11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Correlación</w:t>
            </w:r>
          </w:p>
        </w:tc>
        <w:tc>
          <w:tcPr>
            <w:tcW w:type="dxa" w:w="16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correlación rolling entre pares</w:t>
            </w:r>
          </w:p>
        </w:tc>
        <w:tc>
          <w:tcPr>
            <w:tcW w:type="dxa" w:w="9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3 pares</w:t>
            </w:r>
          </w:p>
        </w:tc>
        <w:tc>
          <w:tcPr>
            <w:tcW w:type="dxa" w:w="12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24 periodos</w:t>
            </w:r>
          </w:p>
        </w:tc>
        <w:tc>
          <w:tcPr>
            <w:tcW w:type="dxa" w:w="9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3</w:t>
            </w:r>
          </w:p>
        </w:tc>
        <w:tc>
          <w:tcPr>
            <w:tcW w:type="dxa" w:w="36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Informa si la diversificación realmente reduce riesgo en ese momento. Correlaciones altas entre activos reducen el beneficio de diversificar.</w:t>
            </w:r>
          </w:p>
        </w:tc>
      </w:tr>
      <w:tr>
        <w:tc>
          <w:tcPr>
            <w:tcW w:type="dxa" w:w="11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Portafolio</w:t>
            </w:r>
          </w:p>
        </w:tc>
        <w:tc>
          <w:tcPr>
            <w:tcW w:type="dxa" w:w="16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pesos actuales del portafolio</w:t>
            </w:r>
          </w:p>
        </w:tc>
        <w:tc>
          <w:tcPr>
            <w:tcW w:type="dxa" w:w="9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4 (3 + cash)</w:t>
            </w:r>
          </w:p>
        </w:tc>
        <w:tc>
          <w:tcPr>
            <w:tcW w:type="dxa" w:w="12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t>
            </w:r>
          </w:p>
        </w:tc>
        <w:tc>
          <w:tcPr>
            <w:tcW w:type="dxa" w:w="9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4</w:t>
            </w:r>
          </w:p>
        </w:tc>
        <w:tc>
          <w:tcPr>
            <w:tcW w:type="dxa" w:w="36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Sin los pesos actuales, el agente no puede calcular el costo de transacción implícito de una acción. Es información de estado crítica para evitar sobreoperación.</w:t>
            </w:r>
          </w:p>
        </w:tc>
      </w:tr>
      <w:tr>
        <w:tc>
          <w:tcPr>
            <w:tcW w:type="dxa" w:w="11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TOTAL</w:t>
            </w:r>
          </w:p>
        </w:tc>
        <w:tc>
          <w:tcPr>
            <w:tcW w:type="dxa" w:w="16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9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12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9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31</w:t>
            </w:r>
          </w:p>
        </w:tc>
        <w:tc>
          <w:tcPr>
            <w:tcW w:type="dxa" w:w="36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91B1B"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EE2E2" w:val="clear"/>
            <w:tcMar>
              <w:top w:type="dxa" w:w="120"/>
              <w:left w:type="dxa" w:w="160"/>
              <w:bottom w:type="dxa" w:w="120"/>
              <w:right w:type="dxa" w:w="160"/>
            </w:tcMar>
          </w:tcPr>
          <w:p>
            <w:pPr>
              <w:spacing w:after="60" w:before="0"/>
            </w:pPr>
            <w:r>
              <w:rPr>
                <w:rFonts w:ascii="Arial" w:cs="Arial" w:eastAsia="Arial" w:hAnsi="Arial"/>
                <w:b/>
                <w:bCs/>
                <w:color w:val="991B1B"/>
                <w:sz w:val="20"/>
                <w:szCs w:val="20"/>
              </w:rPr>
              <w:t xml:space="preserve">AJUSTE METODOLÓGICO CRÍTICO — Normalización del estado</w:t>
            </w:r>
          </w:p>
          <w:p>
            <w:pPr>
              <w:spacing w:after="40" w:before="0"/>
            </w:pPr>
            <w:r>
              <w:rPr>
                <w:rFonts w:ascii="Arial" w:cs="Arial" w:eastAsia="Arial" w:hAnsi="Arial"/>
                <w:color w:val="374151"/>
                <w:sz w:val="20"/>
                <w:szCs w:val="20"/>
              </w:rPr>
              <w:t xml:space="preserve">El documento original no especifica cómo se normalizan las features antes de entrar a la red neuronal. Esto es un error de implementación frecuente y costoso.</w:t>
            </w:r>
          </w:p>
          <w:p>
            <w:pPr>
              <w:spacing w:after="40" w:before="0"/>
            </w:pPr>
            <w:r>
              <w:rPr>
                <w:rFonts w:ascii="Arial" w:cs="Arial" w:eastAsia="Arial" w:hAnsi="Arial"/>
                <w:color w:val="374151"/>
                <w:sz w:val="20"/>
                <w:szCs w:val="20"/>
              </w:rPr>
              <w:t xml:space="preserve">Los log_returns se mueven en rangos de [-0.05, 0.05], las std rolling en [0.001, 0.05], y los pesos del portafolio en [0, 1]. Si entran sin normalizar, la red tiene gradientes completamente desequilibrados: las features con mayor magnitud dominan el aprendizaje y las features pequeñas (pero informativas) quedan invisibles.</w:t>
            </w:r>
          </w:p>
          <w:p>
            <w:pPr>
              <w:spacing w:after="40" w:before="0"/>
            </w:pPr>
            <w:r>
              <w:rPr>
                <w:rFonts w:ascii="Arial" w:cs="Arial" w:eastAsia="Arial" w:hAnsi="Arial"/>
                <w:color w:val="374151"/>
                <w:sz w:val="20"/>
                <w:szCs w:val="20"/>
              </w:rPr>
              <w:t xml:space="preserve">Solución: usar StandardScaler ajustado SOLO con datos de train, almacenarlo como atributo del entorno (self.scaler), y aplicarlo al vuelo dentro de _obs(). Esto es responsabilidad de Persona 2 y debe implementarse antes de cualquier entrenamiento.</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45309"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pPr>
              <w:spacing w:after="60" w:before="0"/>
            </w:pPr>
            <w:r>
              <w:rPr>
                <w:rFonts w:ascii="Arial" w:cs="Arial" w:eastAsia="Arial" w:hAnsi="Arial"/>
                <w:b/>
                <w:bCs/>
                <w:color w:val="B45309"/>
                <w:sz w:val="20"/>
                <w:szCs w:val="20"/>
              </w:rPr>
              <w:t xml:space="preserve">AJUSTE METODOLÓGICO — Correlaciones rolling con ventana corta</w:t>
            </w:r>
          </w:p>
          <w:p>
            <w:pPr>
              <w:spacing w:after="40" w:before="0"/>
            </w:pPr>
            <w:r>
              <w:rPr>
                <w:rFonts w:ascii="Arial" w:cs="Arial" w:eastAsia="Arial" w:hAnsi="Arial"/>
                <w:color w:val="374151"/>
                <w:sz w:val="20"/>
                <w:szCs w:val="20"/>
              </w:rPr>
              <w:t xml:space="preserve">Las correlaciones calculadas sobre 24 periodos son estadísticamente ruidosas. Con solo 24 puntos, el error estándar de una correlación muestral es ~1/sqrt(24-3) ≈ 0.22, lo que significa que una correlación 'observada' de 0.7 puede ser perfectamente compatible con una correlación real de 0.48 o 0.92.</w:t>
            </w:r>
          </w:p>
          <w:p>
            <w:pPr>
              <w:spacing w:after="40" w:before="0"/>
            </w:pPr>
            <w:r>
              <w:rPr>
                <w:rFonts w:ascii="Arial" w:cs="Arial" w:eastAsia="Arial" w:hAnsi="Arial"/>
                <w:color w:val="374151"/>
                <w:sz w:val="20"/>
                <w:szCs w:val="20"/>
              </w:rPr>
              <w:t xml:space="preserve">Recomendación: verificar en el EDA si las correlaciones tienen varianza real o si están siempre cerca de 1. Si los tres activos están altamente correlados en todos los regímenes, esas 3 features no aportan información y solo añaden ruido al estado. En ese caso, reemplazarlas por features alternativas (e.g., taker buy ratio normalizado).</w:t>
            </w:r>
          </w:p>
        </w:tc>
      </w:tr>
    </w:tbl>
    <w:p>
      <w:pPr>
        <w:spacing w:after="60" w:before="0"/>
      </w:pPr>
      <w:r>
        <w:t xml:space="preserve"/>
      </w:r>
    </w:p>
    <w:p>
      <w:pPr>
        <w:spacing w:after="60" w:before="0"/>
      </w:pPr>
      <w:r>
        <w:t xml:space="preserve"/>
      </w:r>
    </w:p>
    <w:p>
      <w:pPr>
        <w:pStyle w:val="Heading2"/>
        <w:spacing w:after="100" w:before="280"/>
      </w:pPr>
      <w:r>
        <w:rPr>
          <w:rFonts w:ascii="Arial" w:cs="Arial" w:eastAsia="Arial" w:hAnsi="Arial"/>
          <w:b/>
          <w:bCs/>
          <w:color w:val="2E5FA3"/>
          <w:sz w:val="26"/>
          <w:szCs w:val="26"/>
        </w:rPr>
        <w:t xml:space="preserve">1.3 Action Space — Diseño y Justificación</w:t>
      </w:r>
    </w:p>
    <w:p>
      <w:pPr>
        <w:spacing w:after="80" w:before="80"/>
      </w:pPr>
      <w:r>
        <w:rPr>
          <w:rFonts w:ascii="Arial" w:cs="Arial" w:eastAsia="Arial" w:hAnsi="Arial"/>
          <w:color w:val="374151"/>
          <w:sz w:val="20"/>
          <w:szCs w:val="20"/>
        </w:rPr>
        <w:t xml:space="preserve">Se usa un espacio de acciones discreto con acciones predefinidas, compatible con DQN. Cada acción corresponde a un portafolio con interpretación económica clara.</w:t>
      </w:r>
    </w:p>
    <w:p>
      <w:pPr>
        <w:spacing w:after="60" w:before="0"/>
      </w:pPr>
      <w:r>
        <w:t xml:space="preserve"/>
      </w:r>
    </w:p>
    <w:p>
      <w:pPr>
        <w:pStyle w:val="Heading3"/>
        <w:spacing w:after="80" w:before="200"/>
      </w:pPr>
      <w:r>
        <w:rPr>
          <w:rFonts w:ascii="Arial" w:cs="Arial" w:eastAsia="Arial" w:hAnsi="Arial"/>
          <w:b/>
          <w:bCs/>
          <w:color w:val="1A7A74"/>
          <w:sz w:val="22"/>
          <w:szCs w:val="22"/>
        </w:rPr>
        <w:t xml:space="preserve">Por qué discreto en lugar de continuo</w:t>
      </w:r>
    </w:p>
    <w:p>
      <w:pPr>
        <w:spacing w:after="80" w:before="80"/>
      </w:pPr>
      <w:r>
        <w:rPr>
          <w:rFonts w:ascii="Arial" w:cs="Arial" w:eastAsia="Arial" w:hAnsi="Arial"/>
          <w:color w:val="374151"/>
          <w:sz w:val="20"/>
          <w:szCs w:val="20"/>
        </w:rPr>
        <w:t xml:space="preserve">Un espacio continuo (PPO, SAC) permite combinaciones arbitrarias de pesos, pero tiene costos importantes: (1) los algoritmos de policy gradient son significativamente más difíciles de debuggear y tunear que DQN; (2) el espacio de búsqueda es mucho mayor, requiriendo más muestras de entorno para converger; (3) la interpretabilidad se reduce porque no es posible enumerar qué decisiones está tomando el agente. Para el tiempo disponible en el taller, DQN con acciones discretas es la elección correcta.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800"/>
        <w:gridCol w:w="800"/>
        <w:gridCol w:w="800"/>
        <w:gridCol w:w="5260"/>
      </w:tblGrid>
      <w:tr>
        <w:trPr>
          <w:tblHeader/>
        </w:trPr>
        <w:tc>
          <w:tcPr>
            <w:tcW w:type="dxa" w:w="9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Acción</w:t>
            </w:r>
          </w:p>
        </w:tc>
        <w:tc>
          <w:tcPr>
            <w:tcW w:type="dxa" w:w="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asset_0</w:t>
            </w:r>
          </w:p>
        </w:tc>
        <w:tc>
          <w:tcPr>
            <w:tcW w:type="dxa" w:w="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asset_1</w:t>
            </w:r>
          </w:p>
        </w:tc>
        <w:tc>
          <w:tcPr>
            <w:tcW w:type="dxa" w:w="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asset_2</w:t>
            </w:r>
          </w:p>
        </w:tc>
        <w:tc>
          <w:tcPr>
            <w:tcW w:type="dxa" w:w="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cash</w:t>
            </w:r>
          </w:p>
        </w:tc>
        <w:tc>
          <w:tcPr>
            <w:tcW w:type="dxa" w:w="52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Interpretación económica</w:t>
            </w:r>
          </w:p>
        </w:tc>
      </w:tr>
      <w:tr>
        <w:tc>
          <w:tcPr>
            <w:tcW w:type="dxa" w:w="9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w:t>
            </w:r>
          </w:p>
        </w:tc>
        <w:tc>
          <w:tcPr>
            <w:tcW w:type="dxa" w:w="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0.00</w:t>
            </w:r>
          </w:p>
        </w:tc>
        <w:tc>
          <w:tcPr>
            <w:tcW w:type="dxa" w:w="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0.00</w:t>
            </w:r>
          </w:p>
        </w:tc>
        <w:tc>
          <w:tcPr>
            <w:tcW w:type="dxa" w:w="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0.00</w:t>
            </w:r>
          </w:p>
        </w:tc>
        <w:tc>
          <w:tcPr>
            <w:tcW w:type="dxa" w:w="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1.00</w:t>
            </w:r>
          </w:p>
        </w:tc>
        <w:tc>
          <w:tcPr>
            <w:tcW w:type="dxa" w:w="52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100% cash: máxima protección de capital. Benchmark pasivo.</w:t>
            </w:r>
          </w:p>
        </w:tc>
      </w:tr>
      <w:tr>
        <w:tc>
          <w:tcPr>
            <w:tcW w:type="dxa" w:w="9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1</w:t>
            </w:r>
          </w:p>
        </w:tc>
        <w:tc>
          <w:tcPr>
            <w:tcW w:type="dxa" w:w="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1.00</w:t>
            </w:r>
          </w:p>
        </w:tc>
        <w:tc>
          <w:tcPr>
            <w:tcW w:type="dxa" w:w="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0.00</w:t>
            </w:r>
          </w:p>
        </w:tc>
        <w:tc>
          <w:tcPr>
            <w:tcW w:type="dxa" w:w="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0.00</w:t>
            </w:r>
          </w:p>
        </w:tc>
        <w:tc>
          <w:tcPr>
            <w:tcW w:type="dxa" w:w="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0.00</w:t>
            </w:r>
          </w:p>
        </w:tc>
        <w:tc>
          <w:tcPr>
            <w:tcW w:type="dxa" w:w="52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Apuesta concentrada en asset_0. Alta exposición, cero diversificación.</w:t>
            </w:r>
          </w:p>
        </w:tc>
      </w:tr>
      <w:tr>
        <w:tc>
          <w:tcPr>
            <w:tcW w:type="dxa" w:w="9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w:t>
            </w:r>
          </w:p>
        </w:tc>
        <w:tc>
          <w:tcPr>
            <w:tcW w:type="dxa" w:w="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0.00</w:t>
            </w:r>
          </w:p>
        </w:tc>
        <w:tc>
          <w:tcPr>
            <w:tcW w:type="dxa" w:w="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1.00</w:t>
            </w:r>
          </w:p>
        </w:tc>
        <w:tc>
          <w:tcPr>
            <w:tcW w:type="dxa" w:w="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0.00</w:t>
            </w:r>
          </w:p>
        </w:tc>
        <w:tc>
          <w:tcPr>
            <w:tcW w:type="dxa" w:w="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0.00</w:t>
            </w:r>
          </w:p>
        </w:tc>
        <w:tc>
          <w:tcPr>
            <w:tcW w:type="dxa" w:w="52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Apuesta concentrada en asset_1.</w:t>
            </w:r>
          </w:p>
        </w:tc>
      </w:tr>
      <w:tr>
        <w:tc>
          <w:tcPr>
            <w:tcW w:type="dxa" w:w="9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3</w:t>
            </w:r>
          </w:p>
        </w:tc>
        <w:tc>
          <w:tcPr>
            <w:tcW w:type="dxa" w:w="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0.00</w:t>
            </w:r>
          </w:p>
        </w:tc>
        <w:tc>
          <w:tcPr>
            <w:tcW w:type="dxa" w:w="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0.00</w:t>
            </w:r>
          </w:p>
        </w:tc>
        <w:tc>
          <w:tcPr>
            <w:tcW w:type="dxa" w:w="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1.00</w:t>
            </w:r>
          </w:p>
        </w:tc>
        <w:tc>
          <w:tcPr>
            <w:tcW w:type="dxa" w:w="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0.00</w:t>
            </w:r>
          </w:p>
        </w:tc>
        <w:tc>
          <w:tcPr>
            <w:tcW w:type="dxa" w:w="52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Apuesta concentrada en asset_2.</w:t>
            </w:r>
          </w:p>
        </w:tc>
      </w:tr>
      <w:tr>
        <w:tc>
          <w:tcPr>
            <w:tcW w:type="dxa" w:w="9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4</w:t>
            </w:r>
          </w:p>
        </w:tc>
        <w:tc>
          <w:tcPr>
            <w:tcW w:type="dxa" w:w="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0.33</w:t>
            </w:r>
          </w:p>
        </w:tc>
        <w:tc>
          <w:tcPr>
            <w:tcW w:type="dxa" w:w="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0.33</w:t>
            </w:r>
          </w:p>
        </w:tc>
        <w:tc>
          <w:tcPr>
            <w:tcW w:type="dxa" w:w="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0.33</w:t>
            </w:r>
          </w:p>
        </w:tc>
        <w:tc>
          <w:tcPr>
            <w:tcW w:type="dxa" w:w="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0.01</w:t>
            </w:r>
          </w:p>
        </w:tc>
        <w:tc>
          <w:tcPr>
            <w:tcW w:type="dxa" w:w="52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Diversificación máxima entre activos riesgosos. Análoga al equal-weight baseline.</w:t>
            </w:r>
          </w:p>
        </w:tc>
      </w:tr>
      <w:tr>
        <w:tc>
          <w:tcPr>
            <w:tcW w:type="dxa" w:w="9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5</w:t>
            </w:r>
          </w:p>
        </w:tc>
        <w:tc>
          <w:tcPr>
            <w:tcW w:type="dxa" w:w="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0.20</w:t>
            </w:r>
          </w:p>
        </w:tc>
        <w:tc>
          <w:tcPr>
            <w:tcW w:type="dxa" w:w="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0.20</w:t>
            </w:r>
          </w:p>
        </w:tc>
        <w:tc>
          <w:tcPr>
            <w:tcW w:type="dxa" w:w="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0.20</w:t>
            </w:r>
          </w:p>
        </w:tc>
        <w:tc>
          <w:tcPr>
            <w:tcW w:type="dxa" w:w="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0.40</w:t>
            </w:r>
          </w:p>
        </w:tc>
        <w:tc>
          <w:tcPr>
            <w:tcW w:type="dxa" w:w="52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Defensiva diversificada: exposición moderada con reserva de capital.</w:t>
            </w:r>
          </w:p>
        </w:tc>
      </w:tr>
      <w:tr>
        <w:tc>
          <w:tcPr>
            <w:tcW w:type="dxa" w:w="9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6</w:t>
            </w:r>
          </w:p>
        </w:tc>
        <w:tc>
          <w:tcPr>
            <w:tcW w:type="dxa" w:w="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0.50</w:t>
            </w:r>
          </w:p>
        </w:tc>
        <w:tc>
          <w:tcPr>
            <w:tcW w:type="dxa" w:w="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0.20</w:t>
            </w:r>
          </w:p>
        </w:tc>
        <w:tc>
          <w:tcPr>
            <w:tcW w:type="dxa" w:w="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0.20</w:t>
            </w:r>
          </w:p>
        </w:tc>
        <w:tc>
          <w:tcPr>
            <w:tcW w:type="dxa" w:w="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0.10</w:t>
            </w:r>
          </w:p>
        </w:tc>
        <w:tc>
          <w:tcPr>
            <w:tcW w:type="dxa" w:w="52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Moderada inclinada a asset_0.</w:t>
            </w:r>
          </w:p>
        </w:tc>
      </w:tr>
      <w:tr>
        <w:tc>
          <w:tcPr>
            <w:tcW w:type="dxa" w:w="9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7</w:t>
            </w:r>
          </w:p>
        </w:tc>
        <w:tc>
          <w:tcPr>
            <w:tcW w:type="dxa" w:w="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0.20</w:t>
            </w:r>
          </w:p>
        </w:tc>
        <w:tc>
          <w:tcPr>
            <w:tcW w:type="dxa" w:w="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0.50</w:t>
            </w:r>
          </w:p>
        </w:tc>
        <w:tc>
          <w:tcPr>
            <w:tcW w:type="dxa" w:w="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0.20</w:t>
            </w:r>
          </w:p>
        </w:tc>
        <w:tc>
          <w:tcPr>
            <w:tcW w:type="dxa" w:w="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0.10</w:t>
            </w:r>
          </w:p>
        </w:tc>
        <w:tc>
          <w:tcPr>
            <w:tcW w:type="dxa" w:w="52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Moderada inclinada a asset_1.</w:t>
            </w:r>
          </w:p>
        </w:tc>
      </w:tr>
      <w:tr>
        <w:tc>
          <w:tcPr>
            <w:tcW w:type="dxa" w:w="9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8</w:t>
            </w:r>
          </w:p>
        </w:tc>
        <w:tc>
          <w:tcPr>
            <w:tcW w:type="dxa" w:w="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0.20</w:t>
            </w:r>
          </w:p>
        </w:tc>
        <w:tc>
          <w:tcPr>
            <w:tcW w:type="dxa" w:w="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0.20</w:t>
            </w:r>
          </w:p>
        </w:tc>
        <w:tc>
          <w:tcPr>
            <w:tcW w:type="dxa" w:w="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0.50</w:t>
            </w:r>
          </w:p>
        </w:tc>
        <w:tc>
          <w:tcPr>
            <w:tcW w:type="dxa" w:w="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0.10</w:t>
            </w:r>
          </w:p>
        </w:tc>
        <w:tc>
          <w:tcPr>
            <w:tcW w:type="dxa" w:w="52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Moderada inclinada a asset_2.</w:t>
            </w:r>
          </w:p>
        </w:tc>
      </w:tr>
      <w:tr>
        <w:tc>
          <w:tcPr>
            <w:tcW w:type="dxa" w:w="9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9 (NUEVA)</w:t>
            </w:r>
          </w:p>
        </w:tc>
        <w:tc>
          <w:tcPr>
            <w:tcW w:type="dxa" w:w="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0.40</w:t>
            </w:r>
          </w:p>
        </w:tc>
        <w:tc>
          <w:tcPr>
            <w:tcW w:type="dxa" w:w="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0.30</w:t>
            </w:r>
          </w:p>
        </w:tc>
        <w:tc>
          <w:tcPr>
            <w:tcW w:type="dxa" w:w="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0.30</w:t>
            </w:r>
          </w:p>
        </w:tc>
        <w:tc>
          <w:tcPr>
            <w:tcW w:type="dxa" w:w="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0.00</w:t>
            </w:r>
          </w:p>
        </w:tc>
        <w:tc>
          <w:tcPr>
            <w:tcW w:type="dxa" w:w="52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Exposición plena sin cash: útil cuando el EDA confirma tendencia alcista simultánea en los tres activos.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45309"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pPr>
              <w:spacing w:after="60" w:before="0"/>
            </w:pPr>
            <w:r>
              <w:rPr>
                <w:rFonts w:ascii="Arial" w:cs="Arial" w:eastAsia="Arial" w:hAnsi="Arial"/>
                <w:b/>
                <w:bCs/>
                <w:color w:val="B45309"/>
                <w:sz w:val="20"/>
                <w:szCs w:val="20"/>
              </w:rPr>
              <w:t xml:space="preserve">AJUSTE METODOLÓGICO — Acciones short (acciones 9, 10, 11 originales)</w:t>
            </w:r>
          </w:p>
          <w:p>
            <w:pPr>
              <w:spacing w:after="40" w:before="0"/>
            </w:pPr>
            <w:r>
              <w:rPr>
                <w:rFonts w:ascii="Arial" w:cs="Arial" w:eastAsia="Arial" w:hAnsi="Arial"/>
                <w:color w:val="374151"/>
                <w:sz w:val="20"/>
                <w:szCs w:val="20"/>
              </w:rPr>
              <w:t xml:space="preserve">El documento original incluía acciones con pesos negativos (short) condicionadas a verificar src/env.py. Recomendación fuerte: NO incluir acciones short en la versión inicial.</w:t>
            </w:r>
          </w:p>
          <w:p>
            <w:pPr>
              <w:spacing w:after="40" w:before="0"/>
            </w:pPr>
            <w:r>
              <w:rPr>
                <w:rFonts w:ascii="Arial" w:cs="Arial" w:eastAsia="Arial" w:hAnsi="Arial"/>
                <w:color w:val="374151"/>
                <w:sz w:val="20"/>
                <w:szCs w:val="20"/>
              </w:rPr>
              <w:t xml:space="preserve">Razón 1 — Riesgo de implementación silencioso: si el entorno base clampea pesos a &gt;= 0 sin lanzar error, las acciones short producen pesos inválidos que el agente nunca aprende a usar correctamente.</w:t>
            </w:r>
          </w:p>
          <w:p>
            <w:pPr>
              <w:spacing w:after="40" w:before="0"/>
            </w:pPr>
            <w:r>
              <w:rPr>
                <w:rFonts w:ascii="Arial" w:cs="Arial" w:eastAsia="Arial" w:hAnsi="Arial"/>
                <w:color w:val="374151"/>
                <w:sz w:val="20"/>
                <w:szCs w:val="20"/>
              </w:rPr>
              <w:t xml:space="preserve">Razón 2 — Complejidad de exploración: DQN necesita visitar cada acción suficientes veces para estimar su valor Q. Con 12 acciones ya es un espacio considerable. Agregar 3 acciones short que solo son útiles en regímenes bajistas específicos hace que el agente necesite exponencialmente más pasos para aprender cuándo usarlas.</w:t>
            </w:r>
          </w:p>
          <w:p>
            <w:pPr>
              <w:spacing w:after="40" w:before="0"/>
            </w:pPr>
            <w:r>
              <w:rPr>
                <w:rFonts w:ascii="Arial" w:cs="Arial" w:eastAsia="Arial" w:hAnsi="Arial"/>
                <w:color w:val="374151"/>
                <w:sz w:val="20"/>
                <w:szCs w:val="20"/>
              </w:rPr>
              <w:t xml:space="preserve">Razón 3 — La rúbrica no premia tener shorts. Premia metodología rigurosa. Un menú de 9-10 acciones bien justificadas es más valioso que 12 acciones con 3 que probablemente nunca se usen.</w:t>
            </w:r>
          </w:p>
          <w:p>
            <w:pPr>
              <w:spacing w:after="40" w:before="0"/>
            </w:pPr>
            <w:r>
              <w:rPr>
                <w:rFonts w:ascii="Arial" w:cs="Arial" w:eastAsia="Arial" w:hAnsi="Arial"/>
                <w:color w:val="374151"/>
                <w:sz w:val="20"/>
                <w:szCs w:val="20"/>
              </w:rPr>
              <w:t xml:space="preserve">Acción recomendada: reemplazar las acciones 9-11 por la acción 9 propuesta arriba (exposición plena sin cash), que cubre un caso económico genuino sin los riesgos de implementación.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5FA3"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tcPr>
          <w:p>
            <w:pPr>
              <w:spacing w:after="60" w:before="0"/>
            </w:pPr>
            <w:r>
              <w:rPr>
                <w:rFonts w:ascii="Arial" w:cs="Arial" w:eastAsia="Arial" w:hAnsi="Arial"/>
                <w:b/>
                <w:bCs/>
                <w:color w:val="2E5FA3"/>
                <w:sz w:val="20"/>
                <w:szCs w:val="20"/>
              </w:rPr>
              <w:t xml:space="preserve">Limitación inherente del espacio discreto</w:t>
            </w:r>
          </w:p>
          <w:p>
            <w:pPr>
              <w:spacing w:after="40" w:before="0"/>
            </w:pPr>
            <w:r>
              <w:rPr>
                <w:rFonts w:ascii="Arial" w:cs="Arial" w:eastAsia="Arial" w:hAnsi="Arial"/>
                <w:color w:val="374151"/>
                <w:sz w:val="20"/>
                <w:szCs w:val="20"/>
              </w:rPr>
              <w:t xml:space="preserve">El agente no puede elegir combinaciones arbitrarias de pesos, solo las opciones del menú. Esta restricción es aceptable dado el tiempo disponible. Sin embargo, implica que si el estado óptimo verdadero es (0.45, 0.35, 0.20, 0.00), el agente tendrá que aproximar con la acción más cercana disponible. Este gap entre la política óptima real y la política óptima restringida al menú es una limitación legítima que debe mencionarse en la discusión.</w:t>
            </w:r>
          </w:p>
        </w:tc>
      </w:tr>
    </w:tbl>
    <w:p>
      <w:pPr>
        <w:spacing w:after="60" w:before="0"/>
      </w:pPr>
      <w:r>
        <w:t xml:space="preserve"/>
      </w:r>
    </w:p>
    <w:p>
      <w:pPr>
        <w:spacing w:after="60" w:before="0"/>
      </w:pPr>
      <w:r>
        <w:t xml:space="preserve"/>
      </w:r>
    </w:p>
    <w:p>
      <w:pPr>
        <w:pStyle w:val="Heading1"/>
        <w:pBdr>
          <w:bottom w:val="single" w:color="2E5FA3" w:sz="8" w:space="4"/>
        </w:pBdr>
        <w:spacing w:after="120" w:before="360"/>
      </w:pPr>
      <w:r>
        <w:rPr>
          <w:rFonts w:ascii="Arial" w:cs="Arial" w:eastAsia="Arial" w:hAnsi="Arial"/>
          <w:b/>
          <w:bCs/>
          <w:color w:val="1B2A4A"/>
          <w:sz w:val="36"/>
          <w:szCs w:val="36"/>
        </w:rPr>
        <w:t xml:space="preserve">2. Datos y Análisis Exploratorio</w:t>
      </w:r>
    </w:p>
    <w:p>
      <w:pPr>
        <w:pStyle w:val="Heading2"/>
        <w:spacing w:after="100" w:before="280"/>
      </w:pPr>
      <w:r>
        <w:rPr>
          <w:rFonts w:ascii="Arial" w:cs="Arial" w:eastAsia="Arial" w:hAnsi="Arial"/>
          <w:b/>
          <w:bCs/>
          <w:color w:val="2E5FA3"/>
          <w:sz w:val="26"/>
          <w:szCs w:val="26"/>
        </w:rPr>
        <w:t xml:space="preserve">2.1 Estructura de los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Archivo</w:t>
            </w:r>
          </w:p>
        </w:tc>
        <w:tc>
          <w:tcPr>
            <w:tcW w:type="dxa" w:w="58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r>
      <w:tr>
        <w:tc>
          <w:tcPr>
            <w:tcW w:type="dxa" w:w="35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data/raw/prices_1h.parquet</w:t>
            </w:r>
          </w:p>
        </w:tc>
        <w:tc>
          <w:tcPr>
            <w:tcW w:type="dxa" w:w="58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OHLCV + taker buy ratio. Columnas: asset_0_*, asset_1_*, asset_2_*, cash</w:t>
            </w:r>
          </w:p>
        </w:tc>
      </w:tr>
    </w:tbl>
    <w:p>
      <w:pPr>
        <w:spacing w:after="60" w:before="0"/>
      </w:pPr>
      <w:r>
        <w:t xml:space="preserve"/>
      </w:r>
    </w:p>
    <w:p>
      <w:pPr>
        <w:pStyle w:val="Heading2"/>
        <w:spacing w:after="100" w:before="280"/>
      </w:pPr>
      <w:r>
        <w:rPr>
          <w:rFonts w:ascii="Arial" w:cs="Arial" w:eastAsia="Arial" w:hAnsi="Arial"/>
          <w:b/>
          <w:bCs/>
          <w:color w:val="2E5FA3"/>
          <w:sz w:val="26"/>
          <w:szCs w:val="26"/>
        </w:rPr>
        <w:t xml:space="preserve">2.2 Qué buscar en el EDA y cómo impacta el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Análisis</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Qué observar</w:t>
            </w:r>
          </w:p>
        </w:tc>
        <w:tc>
          <w:tcPr>
            <w:tcW w:type="dxa" w:w="5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Impacto directo en el diseño</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Distribución de retornos</w:t>
            </w:r>
          </w:p>
        </w:tc>
        <w:tc>
          <w:tcPr>
            <w:tcW w:type="dxa" w:w="24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Asimetría, colas pesadas, outliers. ¿Son normales o heavy-tailed?</w:t>
            </w:r>
          </w:p>
        </w:tc>
        <w:tc>
          <w:tcPr>
            <w:tcW w:type="dxa" w:w="51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Justifica usar log_return en lugar de retorno simple. Si hay outliers extremos (&gt; 5 std), puede ser necesario winsorizar las features para evitar que un solo día de crash domine el aprendizaje.</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Volatilidad rolling</w:t>
            </w:r>
          </w:p>
        </w:tc>
        <w:tc>
          <w:tcPr>
            <w:tcW w:type="dxa" w:w="24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¿Hay clustering? ¿La std en periodos de alta vol persiste?</w:t>
            </w:r>
          </w:p>
        </w:tc>
        <w:tc>
          <w:tcPr>
            <w:tcW w:type="dxa" w:w="51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Confirma la hipótesis principal de la tesis. Si no hay clustering, la feature de vol rolling no aporta predictibilidad y la tesis necesita revisarse.</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Correlación entre activos</w:t>
            </w:r>
          </w:p>
        </w:tc>
        <w:tc>
          <w:tcPr>
            <w:tcW w:type="dxa" w:w="24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Matriz de correlación rolling. ¿Los activos se mueven juntos?</w:t>
            </w:r>
          </w:p>
        </w:tc>
        <w:tc>
          <w:tcPr>
            <w:tcW w:type="dxa" w:w="51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Si correlación &gt; 0.85 en la mayoría de regímenes, las 3 features de correlación son redundantes. Reemplazar o eliminar.</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Regímenes de mercado</w:t>
            </w:r>
          </w:p>
        </w:tc>
        <w:tc>
          <w:tcPr>
            <w:tcW w:type="dxa" w:w="24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¿Se identifican periodos claramente bull, bear o lateral?</w:t>
            </w:r>
          </w:p>
        </w:tc>
        <w:tc>
          <w:tcPr>
            <w:tcW w:type="dxa" w:w="51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Define si el agente va a poder aprender políticas distintas por régimen o si el mercado es demasiado homogéneo para eso.</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Distribución de volatilidad</w:t>
            </w:r>
          </w:p>
        </w:tc>
        <w:tc>
          <w:tcPr>
            <w:tcW w:type="dxa" w:w="24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Percentil 75 y 90 de la std rolling a 24h</w:t>
            </w:r>
          </w:p>
        </w:tc>
        <w:tc>
          <w:tcPr>
            <w:tcW w:type="dxa" w:w="51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Define el umbral del régimen defensivo. Si std_24h &gt; percentil_75, el agente debería inclinarse hacia cash. Este umbral se documenta aquí y se usa en _obs().</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Taker buy ratio</w:t>
            </w:r>
          </w:p>
        </w:tc>
        <w:tc>
          <w:tcPr>
            <w:tcW w:type="dxa" w:w="24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¿Tiene varianza real? ¿Predice direcciones de precio?</w:t>
            </w:r>
          </w:p>
        </w:tc>
        <w:tc>
          <w:tcPr>
            <w:tcW w:type="dxa" w:w="51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Informa si vale la pena incluirlo como feature experimental en v2.</w:t>
            </w:r>
          </w:p>
        </w:tc>
      </w:tr>
    </w:tbl>
    <w:p>
      <w:pPr>
        <w:spacing w:after="60" w:before="0"/>
      </w:pPr>
      <w:r>
        <w:t xml:space="preserve"/>
      </w:r>
    </w:p>
    <w:p>
      <w:pPr>
        <w:pStyle w:val="Heading2"/>
        <w:spacing w:after="100" w:before="280"/>
      </w:pPr>
      <w:r>
        <w:rPr>
          <w:rFonts w:ascii="Arial" w:cs="Arial" w:eastAsia="Arial" w:hAnsi="Arial"/>
          <w:b/>
          <w:bCs/>
          <w:color w:val="2E5FA3"/>
          <w:sz w:val="26"/>
          <w:szCs w:val="26"/>
        </w:rPr>
        <w:t xml:space="preserve">2.3 Cuidados de lookahead en features</w:t>
      </w:r>
    </w:p>
    <w:p>
      <w:pPr>
        <w:spacing w:after="80" w:before="80"/>
      </w:pPr>
      <w:r>
        <w:rPr>
          <w:rFonts w:ascii="Arial" w:cs="Arial" w:eastAsia="Arial" w:hAnsi="Arial"/>
          <w:color w:val="374151"/>
          <w:sz w:val="20"/>
          <w:szCs w:val="20"/>
        </w:rPr>
        <w:t xml:space="preserve">Lookahead es la contaminación de datos futuros en el entrenamiento. Es una de las formas más comunes de invalidar silenciosamente un experimento de trading.</w:t>
      </w:r>
    </w:p>
    <w:p>
      <w:pPr>
        <w:spacing w:after="60" w:before="0"/>
      </w:pPr>
      <w:r>
        <w:t xml:space="preserve"/>
      </w:r>
    </w:p>
    <w:p>
      <w:pPr>
        <w:pStyle w:val="ListParagraph"/>
        <w:numPr>
          <w:ilvl w:val="0"/>
          <w:numId w:val="2"/>
        </w:numPr>
        <w:spacing w:after="40" w:before="40"/>
      </w:pPr>
      <w:r>
        <w:rPr>
          <w:rFonts w:ascii="Arial" w:cs="Arial" w:eastAsia="Arial" w:hAnsi="Arial"/>
          <w:color w:val="374151"/>
          <w:sz w:val="20"/>
          <w:szCs w:val="20"/>
        </w:rPr>
        <w:t xml:space="preserve">No ajustar scalers (StandardScaler, MinMaxScaler) usando datos del conjunto de test.</w:t>
      </w:r>
    </w:p>
    <w:p>
      <w:pPr>
        <w:pStyle w:val="ListParagraph"/>
        <w:numPr>
          <w:ilvl w:val="0"/>
          <w:numId w:val="2"/>
        </w:numPr>
        <w:spacing w:after="40" w:before="40"/>
      </w:pPr>
      <w:r>
        <w:rPr>
          <w:rFonts w:ascii="Arial" w:cs="Arial" w:eastAsia="Arial" w:hAnsi="Arial"/>
          <w:color w:val="374151"/>
          <w:sz w:val="20"/>
          <w:szCs w:val="20"/>
        </w:rPr>
        <w:t xml:space="preserve">No usar operaciones rolling que incluyan filas futuras. Verificar siempre que window aplica hacia atrás.</w:t>
      </w:r>
    </w:p>
    <w:p>
      <w:pPr>
        <w:pStyle w:val="ListParagraph"/>
        <w:numPr>
          <w:ilvl w:val="0"/>
          <w:numId w:val="2"/>
        </w:numPr>
        <w:spacing w:after="40" w:before="40"/>
      </w:pPr>
      <w:r>
        <w:rPr>
          <w:rFonts w:ascii="Arial" w:cs="Arial" w:eastAsia="Arial" w:hAnsi="Arial"/>
          <w:color w:val="374151"/>
          <w:sz w:val="20"/>
          <w:szCs w:val="20"/>
        </w:rPr>
        <w:t xml:space="preserve">build_features() del proyecto es lookahead-safe. Cualquier feature personalizada debe auditarse línea por línea.</w:t>
      </w:r>
    </w:p>
    <w:p>
      <w:pPr>
        <w:pStyle w:val="ListParagraph"/>
        <w:numPr>
          <w:ilvl w:val="0"/>
          <w:numId w:val="2"/>
        </w:numPr>
        <w:spacing w:after="40" w:before="40"/>
      </w:pPr>
      <w:r>
        <w:rPr>
          <w:rFonts w:ascii="Arial" w:cs="Arial" w:eastAsia="Arial" w:hAnsi="Arial"/>
          <w:color w:val="374151"/>
          <w:sz w:val="20"/>
          <w:szCs w:val="20"/>
        </w:rPr>
        <w:t xml:space="preserve">Los splits temporales definidos en configs/default.yaml no deben alterarse.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91B1B"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EE2E2" w:val="clear"/>
            <w:tcMar>
              <w:top w:type="dxa" w:w="120"/>
              <w:left w:type="dxa" w:w="160"/>
              <w:bottom w:type="dxa" w:w="120"/>
              <w:right w:type="dxa" w:w="160"/>
            </w:tcMar>
          </w:tcPr>
          <w:p>
            <w:pPr>
              <w:spacing w:after="60" w:before="0"/>
            </w:pPr>
            <w:r>
              <w:rPr>
                <w:rFonts w:ascii="Arial" w:cs="Arial" w:eastAsia="Arial" w:hAnsi="Arial"/>
                <w:b/>
                <w:bCs/>
                <w:color w:val="991B1B"/>
                <w:sz w:val="20"/>
                <w:szCs w:val="20"/>
              </w:rPr>
              <w:t xml:space="preserve">AJUSTE METODOLÓGICO CRÍTICO — Scaler y lookahead en _obs()</w:t>
            </w:r>
          </w:p>
          <w:p>
            <w:pPr>
              <w:spacing w:after="40" w:before="0"/>
            </w:pPr>
            <w:r>
              <w:rPr>
                <w:rFonts w:ascii="Arial" w:cs="Arial" w:eastAsia="Arial" w:hAnsi="Arial"/>
                <w:color w:val="374151"/>
                <w:sz w:val="20"/>
                <w:szCs w:val="20"/>
              </w:rPr>
              <w:t xml:space="preserve">El punto más frecuente de lookahead accidental no es en las features sino en el scaler. El flujo correcto es:</w:t>
            </w:r>
          </w:p>
          <w:p>
            <w:pPr>
              <w:spacing w:after="40" w:before="0"/>
            </w:pPr>
            <w:r>
              <w:rPr>
                <w:rFonts w:ascii="Arial" w:cs="Arial" w:eastAsia="Arial" w:hAnsi="Arial"/>
                <w:color w:val="374151"/>
                <w:sz w:val="20"/>
                <w:szCs w:val="20"/>
              </w:rPr>
              <w:t xml:space="preserve">1. Ajustar StandardScaler con df_train únicamente: scaler.fit(X_train_features)</w:t>
            </w:r>
          </w:p>
          <w:p>
            <w:pPr>
              <w:spacing w:after="40" w:before="0"/>
            </w:pPr>
            <w:r>
              <w:rPr>
                <w:rFonts w:ascii="Arial" w:cs="Arial" w:eastAsia="Arial" w:hAnsi="Arial"/>
                <w:color w:val="374151"/>
                <w:sz w:val="20"/>
                <w:szCs w:val="20"/>
              </w:rPr>
              <w:t xml:space="preserve">2. Almacenar el scaler como atributo del entorno: self.scaler = scaler</w:t>
            </w:r>
          </w:p>
          <w:p>
            <w:pPr>
              <w:spacing w:after="40" w:before="0"/>
            </w:pPr>
            <w:r>
              <w:rPr>
                <w:rFonts w:ascii="Arial" w:cs="Arial" w:eastAsia="Arial" w:hAnsi="Arial"/>
                <w:color w:val="374151"/>
                <w:sz w:val="20"/>
                <w:szCs w:val="20"/>
              </w:rPr>
              <w:t xml:space="preserve">3. En _obs(), aplicar transform: return self.scaler.transform(raw_obs.reshape(1, -1)).flatten()</w:t>
            </w:r>
          </w:p>
          <w:p>
            <w:pPr>
              <w:spacing w:after="40" w:before="0"/>
            </w:pPr>
            <w:r>
              <w:rPr>
                <w:rFonts w:ascii="Arial" w:cs="Arial" w:eastAsia="Arial" w:hAnsi="Arial"/>
                <w:color w:val="374151"/>
                <w:sz w:val="20"/>
                <w:szCs w:val="20"/>
              </w:rPr>
              <w:t xml:space="preserve">Si el scaler se ajusta con todos los datos (train + test), el agente está implícitamente usando estadísticas del futuro para normalizar el presente. Esto infla artificialmente las métricas de evaluación y hace que el agente funcione peor en producción.</w:t>
            </w:r>
          </w:p>
        </w:tc>
      </w:tr>
    </w:tbl>
    <w:p>
      <w:pPr>
        <w:spacing w:after="60" w:before="0"/>
      </w:pPr>
      <w:r>
        <w:t xml:space="preserve"/>
      </w:r>
    </w:p>
    <w:p>
      <w:pPr>
        <w:spacing w:after="60" w:before="0"/>
      </w:pPr>
      <w:r>
        <w:t xml:space="preserve"/>
      </w:r>
    </w:p>
    <w:p>
      <w:pPr>
        <w:pStyle w:val="Heading1"/>
        <w:pBdr>
          <w:bottom w:val="single" w:color="2E5FA3" w:sz="8" w:space="4"/>
        </w:pBdr>
        <w:spacing w:after="120" w:before="360"/>
      </w:pPr>
      <w:r>
        <w:rPr>
          <w:rFonts w:ascii="Arial" w:cs="Arial" w:eastAsia="Arial" w:hAnsi="Arial"/>
          <w:b/>
          <w:bCs/>
          <w:color w:val="1B2A4A"/>
          <w:sz w:val="36"/>
          <w:szCs w:val="36"/>
        </w:rPr>
        <w:t xml:space="preserve">3. Diseño del Entorno</w:t>
      </w:r>
    </w:p>
    <w:p>
      <w:pPr>
        <w:pStyle w:val="Heading2"/>
        <w:spacing w:after="100" w:before="280"/>
      </w:pPr>
      <w:r>
        <w:rPr>
          <w:rFonts w:ascii="Arial" w:cs="Arial" w:eastAsia="Arial" w:hAnsi="Arial"/>
          <w:b/>
          <w:bCs/>
          <w:color w:val="2E5FA3"/>
          <w:sz w:val="26"/>
          <w:szCs w:val="26"/>
        </w:rPr>
        <w:t xml:space="preserve">3.1 Contrato de implementación</w:t>
      </w:r>
    </w:p>
    <w:p>
      <w:pPr>
        <w:spacing w:after="80" w:before="80"/>
      </w:pPr>
      <w:r>
        <w:rPr>
          <w:rFonts w:ascii="Arial" w:cs="Arial" w:eastAsia="Arial" w:hAnsi="Arial"/>
          <w:color w:val="374151"/>
          <w:sz w:val="20"/>
          <w:szCs w:val="20"/>
        </w:rPr>
        <w:t xml:space="preserve">Se subclasea el entorno base de src/env.py e implementan tres métodos en agent.py: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Método</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Responsabilidad</w:t>
            </w:r>
          </w:p>
        </w:tc>
        <w:tc>
          <w:tcPr>
            <w:tcW w:type="dxa" w:w="4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Notas de implementación</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_obs(self)</w:t>
            </w:r>
          </w:p>
        </w:tc>
        <w:tc>
          <w:tcPr>
            <w:tcW w:type="dxa" w:w="2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Retorna el vector de observación de 31 variables en t</w:t>
            </w:r>
          </w:p>
        </w:tc>
        <w:tc>
          <w:tcPr>
            <w:tcW w:type="dxa" w:w="45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Aplicar self.scaler.transform() antes de retornar. Verificar que no hay NaN (frecuentes en los primeros 24 periodos del rolling).</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_weights_from_action(self, action)</w:t>
            </w:r>
          </w:p>
        </w:tc>
        <w:tc>
          <w:tcPr>
            <w:tcW w:type="dxa" w:w="2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Mapea el índice de acción a un vector de pesos [a0, a1, a2, cash]</w:t>
            </w:r>
          </w:p>
        </w:tc>
        <w:tc>
          <w:tcPr>
            <w:tcW w:type="dxa" w:w="45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Los pesos deben sumar 1. Devolver como np.array. Validar con assert abs(sum(weights) - 1.0) &lt; 1e-6.</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_reward(self, prev, curr)</w:t>
            </w:r>
          </w:p>
        </w:tc>
        <w:tc>
          <w:tcPr>
            <w:tcW w:type="dxa" w:w="2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Calcula el reward escalar entre dos pasos consecutivos</w:t>
            </w:r>
          </w:p>
        </w:tc>
        <w:tc>
          <w:tcPr>
            <w:tcW w:type="dxa" w:w="45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Ver Sección 4 para las tres versiones. Mantener como método intercambiable para facilitar la iteración.</w:t>
            </w:r>
          </w:p>
        </w:tc>
      </w:tr>
    </w:tbl>
    <w:p>
      <w:pPr>
        <w:spacing w:after="60" w:before="0"/>
      </w:pPr>
      <w:r>
        <w:t xml:space="preserve"/>
      </w:r>
    </w:p>
    <w:p>
      <w:pPr>
        <w:pStyle w:val="Heading2"/>
        <w:spacing w:after="100" w:before="280"/>
      </w:pPr>
      <w:r>
        <w:rPr>
          <w:rFonts w:ascii="Arial" w:cs="Arial" w:eastAsia="Arial" w:hAnsi="Arial"/>
          <w:b/>
          <w:bCs/>
          <w:color w:val="2E5FA3"/>
          <w:sz w:val="26"/>
          <w:szCs w:val="26"/>
        </w:rPr>
        <w:t xml:space="preserve">3.2 Manejo de NaN en el estado</w:t>
      </w:r>
    </w:p>
    <w:p>
      <w:pPr>
        <w:spacing w:after="80" w:before="80"/>
      </w:pPr>
      <w:r>
        <w:rPr>
          <w:rFonts w:ascii="Arial" w:cs="Arial" w:eastAsia="Arial" w:hAnsi="Arial"/>
          <w:color w:val="374151"/>
          <w:sz w:val="20"/>
          <w:szCs w:val="20"/>
        </w:rPr>
        <w:t xml:space="preserve">Las features rolling producen NaN en los primeros N periodos (donde N es el tamaño de la ventana). Para una ventana de 24 periodos, los primeros 24 steps del episodio tendrán NaN en las features de largo plazo. Opciones:</w:t>
      </w:r>
    </w:p>
    <w:p>
      <w:pPr>
        <w:pStyle w:val="ListParagraph"/>
        <w:numPr>
          <w:ilvl w:val="0"/>
          <w:numId w:val="2"/>
        </w:numPr>
        <w:spacing w:after="40" w:before="40"/>
      </w:pPr>
      <w:r>
        <w:rPr>
          <w:rFonts w:ascii="Arial" w:cs="Arial" w:eastAsia="Arial" w:hAnsi="Arial"/>
          <w:color w:val="374151"/>
          <w:sz w:val="20"/>
          <w:szCs w:val="20"/>
        </w:rPr>
        <w:t xml:space="preserve">Opción A (recomendada): iniciar el episodio en el primer paso donde todas las features están disponibles. Implica que env.reset() debe fijar el índice inicial en max(window_sizes) + 1.</w:t>
      </w:r>
    </w:p>
    <w:p>
      <w:pPr>
        <w:pStyle w:val="ListParagraph"/>
        <w:numPr>
          <w:ilvl w:val="0"/>
          <w:numId w:val="2"/>
        </w:numPr>
        <w:spacing w:after="40" w:before="40"/>
      </w:pPr>
      <w:r>
        <w:rPr>
          <w:rFonts w:ascii="Arial" w:cs="Arial" w:eastAsia="Arial" w:hAnsi="Arial"/>
          <w:color w:val="374151"/>
          <w:sz w:val="20"/>
          <w:szCs w:val="20"/>
        </w:rPr>
        <w:t xml:space="preserve">Opción B: rellenar NaN con 0 durante el warm-up. Más simple pero introduce sesgo: un 0 en la feature de volatilidad puede confundirse con baja volatilidad real.</w:t>
      </w:r>
    </w:p>
    <w:p>
      <w:pPr>
        <w:spacing w:after="60" w:before="0"/>
      </w:pPr>
      <w:r>
        <w:t xml:space="preserve"/>
      </w:r>
    </w:p>
    <w:p>
      <w:pPr>
        <w:pStyle w:val="Heading2"/>
        <w:spacing w:after="100" w:before="280"/>
      </w:pPr>
      <w:r>
        <w:rPr>
          <w:rFonts w:ascii="Arial" w:cs="Arial" w:eastAsia="Arial" w:hAnsi="Arial"/>
          <w:b/>
          <w:bCs/>
          <w:color w:val="2E5FA3"/>
          <w:sz w:val="26"/>
          <w:szCs w:val="26"/>
        </w:rPr>
        <w:t xml:space="preserve">3.3 Test de verificación del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A74"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D4EFED" w:val="clear"/>
            <w:tcMar>
              <w:top w:type="dxa" w:w="120"/>
              <w:left w:type="dxa" w:w="160"/>
              <w:bottom w:type="dxa" w:w="120"/>
              <w:right w:type="dxa" w:w="160"/>
            </w:tcMar>
          </w:tcPr>
          <w:p>
            <w:pPr>
              <w:spacing w:after="60" w:before="0"/>
            </w:pPr>
            <w:r>
              <w:rPr>
                <w:rFonts w:ascii="Arial" w:cs="Arial" w:eastAsia="Arial" w:hAnsi="Arial"/>
                <w:b/>
                <w:bCs/>
                <w:color w:val="1A7A74"/>
                <w:sz w:val="20"/>
                <w:szCs w:val="20"/>
              </w:rPr>
              <w:t xml:space="preserve">Ejecutar antes de cualquier entrenamiento</w:t>
            </w:r>
          </w:p>
          <w:p>
            <w:pPr>
              <w:spacing w:after="40" w:before="0"/>
            </w:pPr>
            <w:r>
              <w:rPr>
                <w:rFonts w:ascii="Arial" w:cs="Arial" w:eastAsia="Arial" w:hAnsi="Arial"/>
                <w:color w:val="374151"/>
                <w:sz w:val="20"/>
                <w:szCs w:val="20"/>
              </w:rPr>
              <w:t xml:space="preserve">env = TradingEnv(...)</w:t>
            </w:r>
          </w:p>
          <w:p>
            <w:pPr>
              <w:spacing w:after="40" w:before="0"/>
            </w:pPr>
            <w:r>
              <w:rPr>
                <w:rFonts w:ascii="Arial" w:cs="Arial" w:eastAsia="Arial" w:hAnsi="Arial"/>
                <w:color w:val="374151"/>
                <w:sz w:val="20"/>
                <w:szCs w:val="20"/>
              </w:rPr>
              <w:t xml:space="preserve">obs, _ = env.reset(seed=42)</w:t>
            </w:r>
          </w:p>
          <w:p>
            <w:pPr>
              <w:spacing w:after="40" w:before="0"/>
            </w:pPr>
            <w:r>
              <w:rPr>
                <w:rFonts w:ascii="Arial" w:cs="Arial" w:eastAsia="Arial" w:hAnsi="Arial"/>
                <w:color w:val="374151"/>
                <w:sz w:val="20"/>
                <w:szCs w:val="20"/>
              </w:rPr>
              <w:t xml:space="preserve">assert obs.shape == (31,), f'Shape incorrecto: {obs.shape}'</w:t>
            </w:r>
          </w:p>
          <w:p>
            <w:pPr>
              <w:spacing w:after="40" w:before="0"/>
            </w:pPr>
            <w:r>
              <w:rPr>
                <w:rFonts w:ascii="Arial" w:cs="Arial" w:eastAsia="Arial" w:hAnsi="Arial"/>
                <w:color w:val="374151"/>
                <w:sz w:val="20"/>
                <w:szCs w:val="20"/>
              </w:rPr>
              <w:t xml:space="preserve">assert not np.any(np.isnan(obs)), 'NaN en el estado inicial'</w:t>
            </w:r>
          </w:p>
          <w:p>
            <w:pPr>
              <w:spacing w:after="40" w:before="0"/>
            </w:pPr>
            <w:r>
              <w:rPr>
                <w:rFonts w:ascii="Arial" w:cs="Arial" w:eastAsia="Arial" w:hAnsi="Arial"/>
                <w:color w:val="374151"/>
                <w:sz w:val="20"/>
                <w:szCs w:val="20"/>
              </w:rPr>
              <w:t xml:space="preserve">assert abs(obs).max() &lt; 10, 'Features fuera de rango normal — revisar scaler'</w:t>
            </w:r>
          </w:p>
          <w:p>
            <w:pPr>
              <w:spacing w:after="40" w:before="0"/>
            </w:pPr>
            <w:r>
              <w:rPr>
                <w:rFonts w:ascii="Arial" w:cs="Arial" w:eastAsia="Arial" w:hAnsi="Arial"/>
                <w:color w:val="374151"/>
                <w:sz w:val="20"/>
                <w:szCs w:val="20"/>
              </w:rPr>
              <w:t xml:space="preserve">print('Pesos acción 0:', env._weights_from_action(0))   # [0,0,0,1]</w:t>
            </w:r>
          </w:p>
          <w:p>
            <w:pPr>
              <w:spacing w:after="40" w:before="0"/>
            </w:pPr>
            <w:r>
              <w:rPr>
                <w:rFonts w:ascii="Arial" w:cs="Arial" w:eastAsia="Arial" w:hAnsi="Arial"/>
                <w:color w:val="374151"/>
                <w:sz w:val="20"/>
                <w:szCs w:val="20"/>
              </w:rPr>
              <w:t xml:space="preserve">print('Pesos acción 4:', env._weights_from_action(4))   # [0.33,0.33,0.33,0.01]</w:t>
            </w:r>
          </w:p>
          <w:p>
            <w:pPr>
              <w:spacing w:after="40" w:before="0"/>
            </w:pPr>
            <w:r>
              <w:rPr>
                <w:rFonts w:ascii="Arial" w:cs="Arial" w:eastAsia="Arial" w:hAnsi="Arial"/>
                <w:color w:val="374151"/>
                <w:sz w:val="20"/>
                <w:szCs w:val="20"/>
              </w:rPr>
              <w:t xml:space="preserve">for _ in range(5):</w:t>
            </w:r>
          </w:p>
          <w:p>
            <w:pPr>
              <w:spacing w:after="40" w:before="0"/>
            </w:pPr>
            <w:r>
              <w:rPr>
                <w:rFonts w:ascii="Arial" w:cs="Arial" w:eastAsia="Arial" w:hAnsi="Arial"/>
                <w:color w:val="374151"/>
                <w:sz w:val="20"/>
                <w:szCs w:val="20"/>
              </w:rPr>
              <w:t xml:space="preserve">    obs, r, term, trunc, info = env.step(0)</w:t>
            </w:r>
          </w:p>
          <w:p>
            <w:pPr>
              <w:spacing w:after="40" w:before="0"/>
            </w:pPr>
            <w:r>
              <w:rPr>
                <w:rFonts w:ascii="Arial" w:cs="Arial" w:eastAsia="Arial" w:hAnsi="Arial"/>
                <w:color w:val="374151"/>
                <w:sz w:val="20"/>
                <w:szCs w:val="20"/>
              </w:rPr>
              <w:t xml:space="preserve">    assert not np.isnan(r), 'Reward NaN detectado'</w:t>
            </w:r>
          </w:p>
          <w:p>
            <w:pPr>
              <w:spacing w:after="40" w:before="0"/>
            </w:pPr>
            <w:r>
              <w:rPr>
                <w:rFonts w:ascii="Arial" w:cs="Arial" w:eastAsia="Arial" w:hAnsi="Arial"/>
                <w:color w:val="374151"/>
                <w:sz w:val="20"/>
                <w:szCs w:val="20"/>
              </w:rPr>
              <w:t xml:space="preserve">    print('reward:', r)</w:t>
            </w:r>
          </w:p>
        </w:tc>
      </w:tr>
    </w:tbl>
    <w:p>
      <w:pPr>
        <w:spacing w:after="60" w:before="0"/>
      </w:pPr>
      <w:r>
        <w:t xml:space="preserve"/>
      </w:r>
    </w:p>
    <w:p>
      <w:pPr>
        <w:spacing w:after="60" w:before="0"/>
      </w:pPr>
      <w:r>
        <w:t xml:space="preserve"/>
      </w:r>
    </w:p>
    <w:p>
      <w:pPr>
        <w:pStyle w:val="Heading1"/>
        <w:pBdr>
          <w:bottom w:val="single" w:color="2E5FA3" w:sz="8" w:space="4"/>
        </w:pBdr>
        <w:spacing w:after="120" w:before="360"/>
      </w:pPr>
      <w:r>
        <w:rPr>
          <w:rFonts w:ascii="Arial" w:cs="Arial" w:eastAsia="Arial" w:hAnsi="Arial"/>
          <w:b/>
          <w:bCs/>
          <w:color w:val="1B2A4A"/>
          <w:sz w:val="36"/>
          <w:szCs w:val="36"/>
        </w:rPr>
        <w:t xml:space="preserve">4. Diseño del Reward</w:t>
      </w:r>
    </w:p>
    <w:p>
      <w:pPr>
        <w:pStyle w:val="Heading2"/>
        <w:spacing w:after="100" w:before="280"/>
      </w:pPr>
      <w:r>
        <w:rPr>
          <w:rFonts w:ascii="Arial" w:cs="Arial" w:eastAsia="Arial" w:hAnsi="Arial"/>
          <w:b/>
          <w:bCs/>
          <w:color w:val="2E5FA3"/>
          <w:sz w:val="26"/>
          <w:szCs w:val="26"/>
        </w:rPr>
        <w:t xml:space="preserve">4.1 Por qué el reward design es el problema más difícil</w:t>
      </w:r>
    </w:p>
    <w:p>
      <w:pPr>
        <w:spacing w:after="80" w:before="80"/>
      </w:pPr>
      <w:r>
        <w:rPr>
          <w:rFonts w:ascii="Arial" w:cs="Arial" w:eastAsia="Arial" w:hAnsi="Arial"/>
          <w:color w:val="374151"/>
          <w:sz w:val="20"/>
          <w:szCs w:val="20"/>
        </w:rPr>
        <w:t xml:space="preserve">En teoría de RL, el teorema de convergencia de Q-learning garantiza encontrar la política óptima dado un reward bien definido. El problema es que 'bien definido' en trading es extremadamente difícil: maximizar log_return incentiva exactamente lo que queremos evitar (riesgo excesivo y sobreoperación). La literatura llama a esto reward hacking: el agente encuentra comportamientos que maximizan el reward pero no el objetivo real del diseñador.</w:t>
      </w:r>
    </w:p>
    <w:p>
      <w:pPr>
        <w:spacing w:after="80" w:before="80"/>
      </w:pPr>
      <w:r>
        <w:rPr>
          <w:rFonts w:ascii="Arial" w:cs="Arial" w:eastAsia="Arial" w:hAnsi="Arial"/>
          <w:color w:val="374151"/>
          <w:sz w:val="20"/>
          <w:szCs w:val="20"/>
        </w:rPr>
        <w:t xml:space="preserve">La rúbrica exige documentar la iteración del reward con al menos dos formulaciones y reportar el comportamiento observado en cada una. Esta sección define las tres versiones a comparar y anticipa los problemas esperados.</w:t>
      </w:r>
    </w:p>
    <w:p>
      <w:pPr>
        <w:spacing w:after="60" w:before="0"/>
      </w:pPr>
      <w:r>
        <w:t xml:space="preserve"/>
      </w:r>
    </w:p>
    <w:p>
      <w:pPr>
        <w:pStyle w:val="Heading2"/>
        <w:spacing w:after="100" w:before="280"/>
      </w:pPr>
      <w:r>
        <w:rPr>
          <w:rFonts w:ascii="Arial" w:cs="Arial" w:eastAsia="Arial" w:hAnsi="Arial"/>
          <w:b/>
          <w:bCs/>
          <w:color w:val="2E5FA3"/>
          <w:sz w:val="26"/>
          <w:szCs w:val="26"/>
        </w:rPr>
        <w:t xml:space="preserve">4.2 Las tres versiones de reward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3360"/>
      </w:tblGrid>
      <w:tr>
        <w:trPr>
          <w:tblHeader/>
        </w:trPr>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Versión</w:t>
            </w:r>
          </w:p>
        </w:tc>
        <w:tc>
          <w:tcPr>
            <w:tcW w:type="dxa" w:w="2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Fórmula</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Qué busca</w:t>
            </w:r>
          </w:p>
        </w:tc>
        <w:tc>
          <w:tcPr>
            <w:tcW w:type="dxa" w:w="3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Problema esperado (exploit anticipado)</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Reward 1
(baseline)</w:t>
            </w:r>
          </w:p>
        </w:tc>
        <w:tc>
          <w:tcPr>
            <w:tcW w:type="dxa" w:w="26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r_t = log(V_t / V_{t-1})</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Premiar crecimiento puro del portafolio</w:t>
            </w:r>
          </w:p>
        </w:tc>
        <w:tc>
          <w:tcPr>
            <w:tcW w:type="dxa" w:w="33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El agente aprende a concentrar todo en el activo más volátil (mayor retorno esperado pero mayor riesgo). También puede aprender a rebalancear frecuentemente si el entorno lo permite, destruyendo retorno en fees.</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Reward 2
(con turnover)</w:t>
            </w:r>
          </w:p>
        </w:tc>
        <w:tc>
          <w:tcPr>
            <w:tcW w:type="dxa" w:w="26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r_t = log(V_t / V_{t-1}) - λ · turnover_t</w:t>
            </w:r>
          </w:p>
        </w:tc>
        <w:tc>
          <w:tcPr>
            <w:tcW w:type="dxa" w:w="20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Premiar retorno y penalizar sobreoperación</w:t>
            </w:r>
          </w:p>
        </w:tc>
        <w:tc>
          <w:tcPr>
            <w:tcW w:type="dxa" w:w="33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Puede tolerar drawdowns grandes si el retorno promedio compensa. El agente puede aprender a 'parquearse' en un activo volátil y nunca rebalancear (turnover=0, reward positivo aunque el portafolio caiga).</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Reward 3
(candidato final)</w:t>
            </w:r>
          </w:p>
        </w:tc>
        <w:tc>
          <w:tcPr>
            <w:tcW w:type="dxa" w:w="26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r_t = log(V_t / V_{t-1}) - λ · turnover_t - γ · drawdown_t</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Retorno ajustado por costos y riesgo de caída</w:t>
            </w:r>
          </w:p>
        </w:tc>
        <w:tc>
          <w:tcPr>
            <w:tcW w:type="dxa" w:w="33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Exploit clásico: el agente aprende que 100% cash desde t=0 garantiza drawdown=0, turnover=0, y reward≈0 constante. Es una solución 'segura' que el agente puede preferir sobre estrategias riesgosas con reward esperado mayor pero varianza alta.</w:t>
            </w:r>
          </w:p>
        </w:tc>
      </w:tr>
    </w:tbl>
    <w:p>
      <w:pPr>
        <w:spacing w:after="60" w:before="0"/>
      </w:pPr>
      <w:r>
        <w:t xml:space="preserve"/>
      </w:r>
    </w:p>
    <w:p>
      <w:pPr>
        <w:pStyle w:val="Heading2"/>
        <w:spacing w:after="100" w:before="280"/>
      </w:pPr>
      <w:r>
        <w:rPr>
          <w:rFonts w:ascii="Arial" w:cs="Arial" w:eastAsia="Arial" w:hAnsi="Arial"/>
          <w:b/>
          <w:bCs/>
          <w:color w:val="2E5FA3"/>
          <w:sz w:val="26"/>
          <w:szCs w:val="26"/>
        </w:rPr>
        <w:t xml:space="preserve">4.3 Fórmulas precisas — Implementación</w:t>
      </w:r>
    </w:p>
    <w:p>
      <w:pPr>
        <w:pStyle w:val="Heading3"/>
        <w:spacing w:after="80" w:before="200"/>
      </w:pPr>
      <w:r>
        <w:rPr>
          <w:rFonts w:ascii="Arial" w:cs="Arial" w:eastAsia="Arial" w:hAnsi="Arial"/>
          <w:b/>
          <w:bCs/>
          <w:color w:val="1A7A74"/>
          <w:sz w:val="22"/>
          <w:szCs w:val="22"/>
        </w:rPr>
        <w:t xml:space="preserve">Turnover</w:t>
      </w:r>
    </w:p>
    <w:p>
      <w:pPr>
        <w:spacing w:after="80" w:before="80"/>
      </w:pPr>
      <w:r>
        <w:rPr>
          <w:rFonts w:ascii="Arial" w:cs="Arial" w:eastAsia="Arial" w:hAnsi="Arial"/>
          <w:color w:val="374151"/>
          <w:sz w:val="20"/>
          <w:szCs w:val="20"/>
        </w:rPr>
        <w:t xml:space="preserve">El turnover en el paso </w:t>
      </w:r>
      <w:r>
        <w:rPr>
          <w:rFonts w:ascii="Arial" w:cs="Arial" w:eastAsia="Arial" w:hAnsi="Arial"/>
          <w:color w:val="374151"/>
          <w:sz w:val="20"/>
          <w:szCs w:val="20"/>
        </w:rPr>
        <w:t xml:space="preserve">t</w:t>
      </w:r>
      <w:r>
        <w:rPr>
          <w:rFonts w:ascii="Arial" w:cs="Arial" w:eastAsia="Arial" w:hAnsi="Arial"/>
          <w:color w:val="374151"/>
          <w:sz w:val="20"/>
          <w:szCs w:val="20"/>
        </w:rPr>
        <w:t xml:space="preserve"> mide el volumen total de rebalanceo realizado:</w:t>
      </w:r>
    </w:p>
    <w:p>
      <w:pPr>
        <w:spacing w:after="80" w:before="80"/>
      </w:pPr>
      <w:r>
        <w:rPr>
          <w:rFonts w:ascii="Arial" w:cs="Arial" w:eastAsia="Arial" w:hAnsi="Arial"/>
          <w:b/>
          <w:bCs/>
          <w:color w:val="1A7A74"/>
          <w:sz w:val="20"/>
          <w:szCs w:val="20"/>
        </w:rPr>
        <w:t xml:space="preserve">turnover_t = Σ |w_t[i] - w_{t-1}[i]| / 2</w:t>
      </w:r>
    </w:p>
    <w:p>
      <w:pPr>
        <w:spacing w:after="80" w:before="80"/>
      </w:pPr>
      <w:r>
        <w:rPr>
          <w:rFonts w:ascii="Arial" w:cs="Arial" w:eastAsia="Arial" w:hAnsi="Arial"/>
          <w:color w:val="374151"/>
          <w:sz w:val="20"/>
          <w:szCs w:val="20"/>
        </w:rPr>
        <w:t xml:space="preserve">La división por 2 evita doble conteo (vender A para comprar B cuenta como un solo rebalanceo, no dos). El valor de λ de partida recomendado es 0.1. Si λ es demasiado alto el agente nunca se mueve; si es demasiado bajo no cambia nada respecto a Reward 1. El valor óptimo de λ debe explorarse durante el entrenamiento y documentarse.</w:t>
      </w:r>
    </w:p>
    <w:p>
      <w:pPr>
        <w:spacing w:after="60" w:before="0"/>
      </w:pPr>
      <w:r>
        <w:t xml:space="preserve"/>
      </w:r>
    </w:p>
    <w:p>
      <w:pPr>
        <w:pStyle w:val="Heading3"/>
        <w:spacing w:after="80" w:before="200"/>
      </w:pPr>
      <w:r>
        <w:rPr>
          <w:rFonts w:ascii="Arial" w:cs="Arial" w:eastAsia="Arial" w:hAnsi="Arial"/>
          <w:b/>
          <w:bCs/>
          <w:color w:val="1A7A74"/>
          <w:sz w:val="22"/>
          <w:szCs w:val="22"/>
        </w:rPr>
        <w:t xml:space="preserve">Drawdown penalty</w:t>
      </w:r>
    </w:p>
    <w:p>
      <w:pPr>
        <w:spacing w:after="80" w:before="80"/>
      </w:pPr>
      <w:r>
        <w:rPr>
          <w:rFonts w:ascii="Arial" w:cs="Arial" w:eastAsia="Arial" w:hAnsi="Arial"/>
          <w:color w:val="1A7A74"/>
          <w:sz w:val="20"/>
          <w:szCs w:val="20"/>
        </w:rPr>
        <w:t xml:space="preserve">peak_t = max(V_0, V_1, ..., V_t)  [máximo histórico del portafolio]</w:t>
      </w:r>
    </w:p>
    <w:p>
      <w:pPr>
        <w:spacing w:after="80" w:before="80"/>
      </w:pPr>
      <w:r>
        <w:rPr>
          <w:rFonts w:ascii="Arial" w:cs="Arial" w:eastAsia="Arial" w:hAnsi="Arial"/>
          <w:b/>
          <w:bCs/>
          <w:color w:val="1A7A74"/>
          <w:sz w:val="20"/>
          <w:szCs w:val="20"/>
        </w:rPr>
        <w:t xml:space="preserve">drawdown_t = max(0, (peak_t - V_t) / peak_t)</w:t>
      </w:r>
    </w:p>
    <w:p>
      <w:pPr>
        <w:spacing w:after="80" w:before="80"/>
      </w:pPr>
      <w:r>
        <w:rPr>
          <w:rFonts w:ascii="Arial" w:cs="Arial" w:eastAsia="Arial" w:hAnsi="Arial"/>
          <w:color w:val="374151"/>
          <w:sz w:val="20"/>
          <w:szCs w:val="20"/>
        </w:rPr>
        <w:t xml:space="preserve">Este cálculo requiere que el entorno mantenga un atributo self.peak_value que se actualiza en cada step: self.peak_value = max(self.peak_value, V_t). El parámetro γ controla cuánto penaliza el drawdown relativo al retorno. Empezar con γ = 0.5 y ajustar según comportamiento observado.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A74"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D4EFED" w:val="clear"/>
            <w:tcMar>
              <w:top w:type="dxa" w:w="120"/>
              <w:left w:type="dxa" w:w="160"/>
              <w:bottom w:type="dxa" w:w="120"/>
              <w:right w:type="dxa" w:w="160"/>
            </w:tcMar>
          </w:tcPr>
          <w:p>
            <w:pPr>
              <w:spacing w:after="60" w:before="0"/>
            </w:pPr>
            <w:r>
              <w:rPr>
                <w:rFonts w:ascii="Arial" w:cs="Arial" w:eastAsia="Arial" w:hAnsi="Arial"/>
                <w:b/>
                <w:bCs/>
                <w:color w:val="1A7A74"/>
                <w:sz w:val="20"/>
                <w:szCs w:val="20"/>
              </w:rPr>
              <w:t xml:space="preserve">Conexión con la métrica de evaluación — Differential Sortino</w:t>
            </w:r>
          </w:p>
          <w:p>
            <w:pPr>
              <w:spacing w:after="40" w:before="0"/>
            </w:pPr>
            <w:r>
              <w:rPr>
                <w:rFonts w:ascii="Arial" w:cs="Arial" w:eastAsia="Arial" w:hAnsi="Arial"/>
                <w:color w:val="374151"/>
                <w:sz w:val="20"/>
                <w:szCs w:val="20"/>
              </w:rPr>
              <w:t xml:space="preserve">La métrica primaria del taller es el Sortino ratio, que penaliza solo la volatilidad negativa (downside deviation), no la volatilidad total.</w:t>
            </w:r>
          </w:p>
          <w:p>
            <w:pPr>
              <w:spacing w:after="40" w:before="0"/>
            </w:pPr>
            <w:r>
              <w:rPr>
                <w:rFonts w:ascii="Arial" w:cs="Arial" w:eastAsia="Arial" w:hAnsi="Arial"/>
                <w:color w:val="374151"/>
                <w:sz w:val="20"/>
                <w:szCs w:val="20"/>
              </w:rPr>
              <w:t xml:space="preserve">Existe una formulación de reward llamada Differential Sortino que alinea directamente el reward con esta métrica. Si hay tiempo disponible después de que v1 esté entrenando correctamente, considerar esta formulación como Reward 4:</w:t>
            </w:r>
          </w:p>
          <w:p>
            <w:pPr>
              <w:spacing w:after="40" w:before="0"/>
            </w:pPr>
            <w:r>
              <w:rPr>
                <w:rFonts w:ascii="Arial" w:cs="Arial" w:eastAsia="Arial" w:hAnsi="Arial"/>
                <w:color w:val="374151"/>
                <w:sz w:val="20"/>
                <w:szCs w:val="20"/>
              </w:rPr>
              <w:t xml:space="preserve">r_t = (log_return_t - r_f) / downside_std_rolling   donde r_f es el retorno libre de riesgo (puede ser 0 en primera aproximación) y downside_std_rolling es la desviación estándar de los retornos negativos en una ventana reciente.</w:t>
            </w:r>
          </w:p>
          <w:p>
            <w:pPr>
              <w:spacing w:after="40" w:before="0"/>
            </w:pPr>
            <w:r>
              <w:rPr>
                <w:rFonts w:ascii="Arial" w:cs="Arial" w:eastAsia="Arial" w:hAnsi="Arial"/>
                <w:color w:val="374151"/>
                <w:sz w:val="20"/>
                <w:szCs w:val="20"/>
              </w:rPr>
              <w:t xml:space="preserve">La ventaja es que el agente optimiza exactamente lo que el profesor va a medir. La desventaja es que downside_std puede ser 0 en periodos buenos, causando división por cero — hay que manejar ese caso explícitamente.</w:t>
            </w:r>
          </w:p>
        </w:tc>
      </w:tr>
    </w:tbl>
    <w:p>
      <w:pPr>
        <w:spacing w:after="60" w:before="0"/>
      </w:pPr>
      <w:r>
        <w:t xml:space="preserve"/>
      </w:r>
    </w:p>
    <w:p>
      <w:pPr>
        <w:pStyle w:val="Heading2"/>
        <w:spacing w:after="100" w:before="280"/>
      </w:pPr>
      <w:r>
        <w:rPr>
          <w:rFonts w:ascii="Arial" w:cs="Arial" w:eastAsia="Arial" w:hAnsi="Arial"/>
          <w:b/>
          <w:bCs/>
          <w:color w:val="2E5FA3"/>
          <w:sz w:val="26"/>
          <w:szCs w:val="26"/>
        </w:rPr>
        <w:t xml:space="preserve">4.4 Protocolo de iteración del reward</w:t>
      </w:r>
    </w:p>
    <w:p>
      <w:pPr>
        <w:spacing w:after="80" w:before="80"/>
      </w:pPr>
      <w:r>
        <w:rPr>
          <w:rFonts w:ascii="Arial" w:cs="Arial" w:eastAsia="Arial" w:hAnsi="Arial"/>
          <w:color w:val="374151"/>
          <w:sz w:val="20"/>
          <w:szCs w:val="20"/>
        </w:rPr>
        <w:t xml:space="preserve">Para cada versión de reward, documentar:</w:t>
      </w:r>
    </w:p>
    <w:p>
      <w:pPr>
        <w:pStyle w:val="ListParagraph"/>
        <w:numPr>
          <w:ilvl w:val="0"/>
          <w:numId w:val="2"/>
        </w:numPr>
        <w:spacing w:after="40" w:before="40"/>
      </w:pPr>
      <w:r>
        <w:rPr>
          <w:rFonts w:ascii="Arial" w:cs="Arial" w:eastAsia="Arial" w:hAnsi="Arial"/>
          <w:color w:val="374151"/>
          <w:sz w:val="20"/>
          <w:szCs w:val="20"/>
        </w:rPr>
        <w:t xml:space="preserve">Hiperparámetros usados (λ, γ).</w:t>
      </w:r>
    </w:p>
    <w:p>
      <w:pPr>
        <w:pStyle w:val="ListParagraph"/>
        <w:numPr>
          <w:ilvl w:val="0"/>
          <w:numId w:val="2"/>
        </w:numPr>
        <w:spacing w:after="40" w:before="40"/>
      </w:pPr>
      <w:r>
        <w:rPr>
          <w:rFonts w:ascii="Arial" w:cs="Arial" w:eastAsia="Arial" w:hAnsi="Arial"/>
          <w:color w:val="374151"/>
          <w:sz w:val="20"/>
          <w:szCs w:val="20"/>
        </w:rPr>
        <w:t xml:space="preserve">Comportamiento observado: ¿se queda en cash? ¿Opera excesivamente? ¿Concentra en un activo?</w:t>
      </w:r>
    </w:p>
    <w:p>
      <w:pPr>
        <w:pStyle w:val="ListParagraph"/>
        <w:numPr>
          <w:ilvl w:val="0"/>
          <w:numId w:val="2"/>
        </w:numPr>
        <w:spacing w:after="40" w:before="40"/>
      </w:pPr>
      <w:r>
        <w:rPr>
          <w:rFonts w:ascii="Arial" w:cs="Arial" w:eastAsia="Arial" w:hAnsi="Arial"/>
          <w:color w:val="374151"/>
          <w:sz w:val="20"/>
          <w:szCs w:val="20"/>
        </w:rPr>
        <w:t xml:space="preserve">Exploit identificado: ¿encontró el agente una estrategia que maximiza el reward pero no el objetivo real?</w:t>
      </w:r>
    </w:p>
    <w:p>
      <w:pPr>
        <w:pStyle w:val="ListParagraph"/>
        <w:numPr>
          <w:ilvl w:val="0"/>
          <w:numId w:val="2"/>
        </w:numPr>
        <w:spacing w:after="40" w:before="40"/>
      </w:pPr>
      <w:r>
        <w:rPr>
          <w:rFonts w:ascii="Arial" w:cs="Arial" w:eastAsia="Arial" w:hAnsi="Arial"/>
          <w:color w:val="374151"/>
          <w:sz w:val="20"/>
          <w:szCs w:val="20"/>
        </w:rPr>
        <w:t xml:space="preserve">Decisión: ¿se continúa con esta versión o se pasa a la siguiente? ¿Por qué?</w:t>
      </w:r>
    </w:p>
    <w:p>
      <w:pPr>
        <w:spacing w:after="80" w:before="80"/>
      </w:pPr>
      <w:r>
        <w:rPr>
          <w:rFonts w:ascii="Arial" w:cs="Arial" w:eastAsia="Arial" w:hAnsi="Arial"/>
          <w:color w:val="374151"/>
          <w:sz w:val="20"/>
          <w:szCs w:val="20"/>
        </w:rPr>
        <w:t xml:space="preserve">La rúbrica premia la documentación de la iteración, no solo el resultado final. Un experimento fallido bien documentado vale más que un resultado bueno sin justificación.</w:t>
      </w:r>
    </w:p>
    <w:p>
      <w:pPr>
        <w:spacing w:after="60" w:before="0"/>
      </w:pPr>
      <w:r>
        <w:t xml:space="preserve"/>
      </w:r>
    </w:p>
    <w:p>
      <w:pPr>
        <w:spacing w:after="60" w:before="0"/>
      </w:pPr>
      <w:r>
        <w:t xml:space="preserve"/>
      </w:r>
    </w:p>
    <w:p>
      <w:pPr>
        <w:pStyle w:val="Heading1"/>
        <w:pBdr>
          <w:bottom w:val="single" w:color="2E5FA3" w:sz="8" w:space="4"/>
        </w:pBdr>
        <w:spacing w:after="120" w:before="360"/>
      </w:pPr>
      <w:r>
        <w:rPr>
          <w:rFonts w:ascii="Arial" w:cs="Arial" w:eastAsia="Arial" w:hAnsi="Arial"/>
          <w:b/>
          <w:bCs/>
          <w:color w:val="1B2A4A"/>
          <w:sz w:val="36"/>
          <w:szCs w:val="36"/>
        </w:rPr>
        <w:t xml:space="preserve">5. Algoritmo</w:t>
      </w:r>
    </w:p>
    <w:p>
      <w:pPr>
        <w:pStyle w:val="Heading2"/>
        <w:spacing w:after="100" w:before="280"/>
      </w:pPr>
      <w:r>
        <w:rPr>
          <w:rFonts w:ascii="Arial" w:cs="Arial" w:eastAsia="Arial" w:hAnsi="Arial"/>
          <w:b/>
          <w:bCs/>
          <w:color w:val="2E5FA3"/>
          <w:sz w:val="26"/>
          <w:szCs w:val="26"/>
        </w:rPr>
        <w:t xml:space="preserve">5.1 DQN como punto de partida</w:t>
      </w:r>
    </w:p>
    <w:p>
      <w:pPr>
        <w:spacing w:after="80" w:before="80"/>
      </w:pPr>
      <w:r>
        <w:rPr>
          <w:rFonts w:ascii="Arial" w:cs="Arial" w:eastAsia="Arial" w:hAnsi="Arial"/>
          <w:color w:val="374151"/>
          <w:sz w:val="20"/>
          <w:szCs w:val="20"/>
        </w:rPr>
        <w:t xml:space="preserve">DQN (Deep Q-Network, Mnih et al. 2015) es el algoritmo estándar para espacios de acción discretos en RL profundo. Aprende una función Q(s, a) que estima el retorno esperado de tomar la acción a en el estado s y seguir la política óptima a partir de ahí. La política es entonces argmax_a Q(s, 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600"/>
        <w:gridCol w:w="276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Componente</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Elección</w:t>
            </w:r>
          </w:p>
        </w:tc>
        <w:tc>
          <w:tcPr>
            <w:tcW w:type="dxa" w:w="3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Justificación</w:t>
            </w:r>
          </w:p>
        </w:tc>
        <w:tc>
          <w:tcPr>
            <w:tcW w:type="dxa" w:w="2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Parámetro a reportar</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Algoritmo base</w:t>
            </w:r>
          </w:p>
        </w:tc>
        <w:tc>
          <w:tcPr>
            <w:tcW w:type="dxa" w:w="14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DQN</w:t>
            </w:r>
          </w:p>
        </w:tc>
        <w:tc>
          <w:tcPr>
            <w:tcW w:type="dxa" w:w="36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Compatible con acciones discretas, bien documentado, fácil de debuggear. Baseline obligatorio.</w:t>
            </w:r>
          </w:p>
        </w:tc>
        <w:tc>
          <w:tcPr>
            <w:tcW w:type="dxa" w:w="27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Replay buffer</w:t>
            </w:r>
          </w:p>
        </w:tc>
        <w:tc>
          <w:tcPr>
            <w:tcW w:type="dxa" w:w="14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Experience replay estándar</w:t>
            </w:r>
          </w:p>
        </w:tc>
        <w:tc>
          <w:tcPr>
            <w:tcW w:type="dxa" w:w="36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Rompe correlación temporal entre experiencias consecutivas, estabilizando el entrenamiento.</w:t>
            </w:r>
          </w:p>
        </w:tc>
        <w:tc>
          <w:tcPr>
            <w:tcW w:type="dxa" w:w="27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Tamaño: 50k–100k transiciones</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Target network</w:t>
            </w:r>
          </w:p>
        </w:tc>
        <w:tc>
          <w:tcPr>
            <w:tcW w:type="dxa" w:w="14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Red separada actualizada cada N steps</w:t>
            </w:r>
          </w:p>
        </w:tc>
        <w:tc>
          <w:tcPr>
            <w:tcW w:type="dxa" w:w="36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Sin red target, el agente persigue un blanco móvil y el entrenamiento diverge. El update frecuente en trading es ~500–1000 steps.</w:t>
            </w:r>
          </w:p>
        </w:tc>
        <w:tc>
          <w:tcPr>
            <w:tcW w:type="dxa" w:w="27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target_update_freq</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Exploración</w:t>
            </w:r>
          </w:p>
        </w:tc>
        <w:tc>
          <w:tcPr>
            <w:tcW w:type="dxa" w:w="14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ε-greedy con decay lineal</w:t>
            </w:r>
          </w:p>
        </w:tc>
        <w:tc>
          <w:tcPr>
            <w:tcW w:type="dxa" w:w="36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Exploración amplia al inicio, explotación creciente. En mercados con ~8760 steps/año (1h), un decay de 1.0→0.05 en 5000 steps es razonable.</w:t>
            </w:r>
          </w:p>
        </w:tc>
        <w:tc>
          <w:tcPr>
            <w:tcW w:type="dxa" w:w="27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eps_start, eps_end, eps_decay_steps</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Extension recomendada</w:t>
            </w:r>
          </w:p>
        </w:tc>
        <w:tc>
          <w:tcPr>
            <w:tcW w:type="dxa" w:w="14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Double DQN</w:t>
            </w:r>
          </w:p>
        </w:tc>
        <w:tc>
          <w:tcPr>
            <w:tcW w:type="dxa" w:w="36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Corrige la sobreestimación del valor Q de DQN estándar, que tiende a ser optimista. Mejora la estabilidad sin coste computacional significativo.</w:t>
            </w:r>
          </w:p>
        </w:tc>
        <w:tc>
          <w:tcPr>
            <w:tcW w:type="dxa" w:w="27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Extension opcional</w:t>
            </w:r>
          </w:p>
        </w:tc>
        <w:tc>
          <w:tcPr>
            <w:tcW w:type="dxa" w:w="14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Dueling DQN</w:t>
            </w:r>
          </w:p>
        </w:tc>
        <w:tc>
          <w:tcPr>
            <w:tcW w:type="dxa" w:w="36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Separa la estimación del valor del estado V(s) de la ventaja por acción A(s,a). Útil cuando muchas acciones tienen valores similares (e.g., distintas combinaciones de diversificación).</w:t>
            </w:r>
          </w:p>
        </w:tc>
        <w:tc>
          <w:tcPr>
            <w:tcW w:type="dxa" w:w="27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Extension opcional</w:t>
            </w:r>
          </w:p>
        </w:tc>
        <w:tc>
          <w:tcPr>
            <w:tcW w:type="dxa" w:w="14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Prioritized Experience Replay</w:t>
            </w:r>
          </w:p>
        </w:tc>
        <w:tc>
          <w:tcPr>
            <w:tcW w:type="dxa" w:w="36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Prioriza transiciones con mayor error TD, mejorando la eficiencia de muestras. Útil si el entrenamiento es largo y los eventos raros (crashes) son importantes.</w:t>
            </w:r>
          </w:p>
        </w:tc>
        <w:tc>
          <w:tcPr>
            <w:tcW w:type="dxa" w:w="27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t>
            </w:r>
          </w:p>
        </w:tc>
      </w:tr>
    </w:tbl>
    <w:p>
      <w:pPr>
        <w:spacing w:after="60" w:before="0"/>
      </w:pPr>
      <w:r>
        <w:t xml:space="preserve"/>
      </w:r>
    </w:p>
    <w:p>
      <w:pPr>
        <w:pStyle w:val="Heading2"/>
        <w:spacing w:after="100" w:before="280"/>
      </w:pPr>
      <w:r>
        <w:rPr>
          <w:rFonts w:ascii="Arial" w:cs="Arial" w:eastAsia="Arial" w:hAnsi="Arial"/>
          <w:b/>
          <w:bCs/>
          <w:color w:val="2E5FA3"/>
          <w:sz w:val="26"/>
          <w:szCs w:val="26"/>
        </w:rPr>
        <w:t xml:space="preserve">5.2 Hiperparámetros a reportar obligatoriamente</w:t>
      </w:r>
    </w:p>
    <w:p>
      <w:pPr>
        <w:spacing w:after="80" w:before="80"/>
      </w:pPr>
      <w:r>
        <w:rPr>
          <w:rFonts w:ascii="Arial" w:cs="Arial" w:eastAsia="Arial" w:hAnsi="Arial"/>
          <w:color w:val="374151"/>
          <w:sz w:val="20"/>
          <w:szCs w:val="20"/>
        </w:rPr>
        <w:t xml:space="preserve">Cualquier ajuste de hiperparámetros usando la ventana de evaluación (test set) es causa de descalificación. Todos los hiperparámetros deben fijarse antes de ver los resultados de test.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Hiperparámetro</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Valor inicial sugerido</w:t>
            </w:r>
          </w:p>
        </w:tc>
        <w:tc>
          <w:tcPr>
            <w:tcW w:type="dxa" w:w="5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Qué controla</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learning_rate</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1e-3 o 1e-4</w:t>
            </w:r>
          </w:p>
        </w:tc>
        <w:tc>
          <w:tcPr>
            <w:tcW w:type="dxa" w:w="51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Tamaño del paso de gradiente. Muy alto → inestabilidad; muy bajo → convergencia lenta.</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batch_size</w:t>
            </w:r>
          </w:p>
        </w:tc>
        <w:tc>
          <w:tcPr>
            <w:tcW w:type="dxa" w:w="20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64 o 128</w:t>
            </w:r>
          </w:p>
        </w:tc>
        <w:tc>
          <w:tcPr>
            <w:tcW w:type="dxa" w:w="51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Muestras por actualización de gradiente. Batches más grandes dan gradientes más estables pero requieren más memoria.</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gamma (descuento)</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0.99</w:t>
            </w:r>
          </w:p>
        </w:tc>
        <w:tc>
          <w:tcPr>
            <w:tcW w:type="dxa" w:w="51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Factor de descuento temporal. 0.99 = el agente valora retornos futuros casi igual que inmediatos.</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eps_start / eps_end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1.0 / 0.05</w:t>
            </w:r>
          </w:p>
        </w:tc>
        <w:tc>
          <w:tcPr>
            <w:tcW w:type="dxa" w:w="51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Rango de exploración epsilon-greedy.</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eps_decay_steps</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5000</w:t>
            </w:r>
          </w:p>
        </w:tc>
        <w:tc>
          <w:tcPr>
            <w:tcW w:type="dxa" w:w="51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Pasos para decaer epsilon de inicio a fin.</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target_update_freq</w:t>
            </w:r>
          </w:p>
        </w:tc>
        <w:tc>
          <w:tcPr>
            <w:tcW w:type="dxa" w:w="20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500–1000 steps</w:t>
            </w:r>
          </w:p>
        </w:tc>
        <w:tc>
          <w:tcPr>
            <w:tcW w:type="dxa" w:w="51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Frecuencia de actualización de la red target.</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buffer_size</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50000–100000</w:t>
            </w:r>
          </w:p>
        </w:tc>
        <w:tc>
          <w:tcPr>
            <w:tcW w:type="dxa" w:w="51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Capacidad del replay buffer.</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lambda (turnover)</w:t>
            </w:r>
          </w:p>
        </w:tc>
        <w:tc>
          <w:tcPr>
            <w:tcW w:type="dxa" w:w="20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0.1</w:t>
            </w:r>
          </w:p>
        </w:tc>
        <w:tc>
          <w:tcPr>
            <w:tcW w:type="dxa" w:w="51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Peso de la penalización por turnover en el reward.</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gamma_dd (drawdown)</w:t>
            </w:r>
          </w:p>
        </w:tc>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0.5</w:t>
            </w:r>
          </w:p>
        </w:tc>
        <w:tc>
          <w:tcPr>
            <w:tcW w:type="dxa" w:w="51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Peso de la penalización por drawdown en el reward.</w:t>
            </w:r>
          </w:p>
        </w:tc>
      </w:tr>
    </w:tbl>
    <w:p>
      <w:pPr>
        <w:spacing w:after="60" w:before="0"/>
      </w:pPr>
      <w:r>
        <w:t xml:space="preserve"/>
      </w:r>
    </w:p>
    <w:p>
      <w:pPr>
        <w:spacing w:after="60" w:before="0"/>
      </w:pPr>
      <w:r>
        <w:t xml:space="preserve"/>
      </w:r>
    </w:p>
    <w:p>
      <w:pPr>
        <w:pStyle w:val="Heading1"/>
        <w:pBdr>
          <w:bottom w:val="single" w:color="2E5FA3" w:sz="8" w:space="4"/>
        </w:pBdr>
        <w:spacing w:after="120" w:before="360"/>
      </w:pPr>
      <w:r>
        <w:rPr>
          <w:rFonts w:ascii="Arial" w:cs="Arial" w:eastAsia="Arial" w:hAnsi="Arial"/>
          <w:b/>
          <w:bCs/>
          <w:color w:val="1B2A4A"/>
          <w:sz w:val="36"/>
          <w:szCs w:val="36"/>
        </w:rPr>
        <w:t xml:space="preserve">6. Baselines</w:t>
      </w:r>
    </w:p>
    <w:p>
      <w:pPr>
        <w:spacing w:after="80" w:before="80"/>
      </w:pPr>
      <w:r>
        <w:rPr>
          <w:rFonts w:ascii="Arial" w:cs="Arial" w:eastAsia="Arial" w:hAnsi="Arial"/>
          <w:color w:val="374151"/>
          <w:sz w:val="20"/>
          <w:szCs w:val="20"/>
        </w:rPr>
        <w:t xml:space="preserve">Todos los baselines están implementados en src/baselines.py y deben evaluarse bajo condiciones idénticas al agente (mismo periodo, mismos costos de transacción). Su rol no es solo comparación: ayudan a diagnosticar si el agente está aprendiendo algo real.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Baseline</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Rol diagnóstico</w:t>
            </w:r>
          </w:p>
        </w:tc>
        <w:tc>
          <w:tcPr>
            <w:tcW w:type="dxa" w:w="4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Qué implica si el agente no lo supera</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Random policy</w:t>
            </w:r>
          </w:p>
        </w:tc>
        <w:tc>
          <w:tcPr>
            <w:tcW w:type="dxa" w:w="3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Piso mínimo — sanity floor</w:t>
            </w:r>
          </w:p>
        </w:tc>
        <w:tc>
          <w:tcPr>
            <w:tcW w:type="dxa" w:w="45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El agente no aprendió nada. Hay un bug en el entorno, el reward o el entrenamiento.</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Hold cash</w:t>
            </w:r>
          </w:p>
        </w:tc>
        <w:tc>
          <w:tcPr>
            <w:tcW w:type="dxa" w:w="30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Benchmark pasivo</w:t>
            </w:r>
          </w:p>
        </w:tc>
        <w:tc>
          <w:tcPr>
            <w:tcW w:type="dxa" w:w="45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El agente destruye valor asumiendo riesgo. La penalización por drawdown puede estar insuficientemente calibrada.</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Hold Asset 0</w:t>
            </w:r>
          </w:p>
        </w:tc>
        <w:tc>
          <w:tcPr>
            <w:tcW w:type="dxa" w:w="3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Benchmark de un solo activo</w:t>
            </w:r>
          </w:p>
        </w:tc>
        <w:tc>
          <w:tcPr>
            <w:tcW w:type="dxa" w:w="45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El agente no puede identificar cuándo un activo es superior. La diversificación no está ayudando.</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Equal weight rebalanced</w:t>
            </w:r>
          </w:p>
        </w:tc>
        <w:tc>
          <w:tcPr>
            <w:tcW w:type="dxa" w:w="30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Benchmark de diversificación simple</w:t>
            </w:r>
          </w:p>
        </w:tc>
        <w:tc>
          <w:tcPr>
            <w:tcW w:type="dxa" w:w="45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El agente no puede mejorar sobre una regla fija. Puede indicar que el espacio de acciones es demasiado limitado o que el estado no es informativo.</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SMA crossover</w:t>
            </w:r>
          </w:p>
        </w:tc>
        <w:tc>
          <w:tcPr>
            <w:tcW w:type="dxa" w:w="3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Benchmark de tendencia con regla técnica</w:t>
            </w:r>
          </w:p>
        </w:tc>
        <w:tc>
          <w:tcPr>
            <w:tcW w:type="dxa" w:w="45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El agente no puede capturar señales de momentum que una regla simple sí captura.</w:t>
            </w:r>
          </w:p>
        </w:tc>
      </w:tr>
    </w:tbl>
    <w:p>
      <w:pPr>
        <w:spacing w:after="60" w:before="0"/>
      </w:pPr>
      <w:r>
        <w:t xml:space="preserve"/>
      </w:r>
    </w:p>
    <w:p>
      <w:pPr>
        <w:spacing w:after="60" w:before="0"/>
      </w:pPr>
      <w:r>
        <w:t xml:space="preserve"/>
      </w:r>
    </w:p>
    <w:p>
      <w:pPr>
        <w:pStyle w:val="Heading1"/>
        <w:pBdr>
          <w:bottom w:val="single" w:color="2E5FA3" w:sz="8" w:space="4"/>
        </w:pBdr>
        <w:spacing w:after="120" w:before="360"/>
      </w:pPr>
      <w:r>
        <w:rPr>
          <w:rFonts w:ascii="Arial" w:cs="Arial" w:eastAsia="Arial" w:hAnsi="Arial"/>
          <w:b/>
          <w:bCs/>
          <w:color w:val="1B2A4A"/>
          <w:sz w:val="36"/>
          <w:szCs w:val="36"/>
        </w:rPr>
        <w:t xml:space="preserve">7. Protocolo de Entrenamiento</w:t>
      </w:r>
    </w:p>
    <w:p>
      <w:pPr>
        <w:pStyle w:val="Heading2"/>
        <w:spacing w:after="100" w:before="280"/>
      </w:pPr>
      <w:r>
        <w:rPr>
          <w:rFonts w:ascii="Arial" w:cs="Arial" w:eastAsia="Arial" w:hAnsi="Arial"/>
          <w:b/>
          <w:bCs/>
          <w:color w:val="2E5FA3"/>
          <w:sz w:val="26"/>
          <w:szCs w:val="26"/>
        </w:rPr>
        <w:t xml:space="preserve">7.1 Reproducibilidad — obligatoria</w:t>
      </w:r>
    </w:p>
    <w:p>
      <w:pPr>
        <w:spacing w:after="80" w:before="80"/>
      </w:pPr>
      <w:r>
        <w:rPr>
          <w:rFonts w:ascii="Arial" w:cs="Arial" w:eastAsia="Arial" w:hAnsi="Arial"/>
          <w:color w:val="374151"/>
          <w:sz w:val="20"/>
          <w:szCs w:val="20"/>
        </w:rPr>
        <w:t xml:space="preserve">El agente debe ser completamente reproducible desde el codebase entregado. Fijar seed en todos los componentes: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A74"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D4EFED" w:val="clear"/>
            <w:tcMar>
              <w:top w:type="dxa" w:w="120"/>
              <w:left w:type="dxa" w:w="160"/>
              <w:bottom w:type="dxa" w:w="120"/>
              <w:right w:type="dxa" w:w="160"/>
            </w:tcMar>
          </w:tcPr>
          <w:p>
            <w:pPr>
              <w:spacing w:after="60" w:before="0"/>
            </w:pPr>
            <w:r>
              <w:rPr>
                <w:rFonts w:ascii="Arial" w:cs="Arial" w:eastAsia="Arial" w:hAnsi="Arial"/>
                <w:b/>
                <w:bCs/>
                <w:color w:val="1A7A74"/>
                <w:sz w:val="20"/>
                <w:szCs w:val="20"/>
              </w:rPr>
              <w:t xml:space="preserve">Código de fijación de semilla</w:t>
            </w:r>
          </w:p>
          <w:p>
            <w:pPr>
              <w:spacing w:after="40" w:before="0"/>
            </w:pPr>
            <w:r>
              <w:rPr>
                <w:rFonts w:ascii="Arial" w:cs="Arial" w:eastAsia="Arial" w:hAnsi="Arial"/>
                <w:color w:val="374151"/>
                <w:sz w:val="20"/>
                <w:szCs w:val="20"/>
              </w:rPr>
              <w:t xml:space="preserve">import random, numpy as np, torch</w:t>
            </w:r>
          </w:p>
          <w:p>
            <w:pPr>
              <w:spacing w:after="40" w:before="0"/>
            </w:pPr>
            <w:r>
              <w:rPr>
                <w:rFonts w:ascii="Arial" w:cs="Arial" w:eastAsia="Arial" w:hAnsi="Arial"/>
                <w:color w:val="374151"/>
                <w:sz w:val="20"/>
                <w:szCs w:val="20"/>
              </w:rPr>
              <w:t xml:space="preserve">SEED = 42</w:t>
            </w:r>
          </w:p>
          <w:p>
            <w:pPr>
              <w:spacing w:after="40" w:before="0"/>
            </w:pPr>
            <w:r>
              <w:rPr>
                <w:rFonts w:ascii="Arial" w:cs="Arial" w:eastAsia="Arial" w:hAnsi="Arial"/>
                <w:color w:val="374151"/>
                <w:sz w:val="20"/>
                <w:szCs w:val="20"/>
              </w:rPr>
              <w:t xml:space="preserve">random.seed(SEED)</w:t>
            </w:r>
          </w:p>
          <w:p>
            <w:pPr>
              <w:spacing w:after="40" w:before="0"/>
            </w:pPr>
            <w:r>
              <w:rPr>
                <w:rFonts w:ascii="Arial" w:cs="Arial" w:eastAsia="Arial" w:hAnsi="Arial"/>
                <w:color w:val="374151"/>
                <w:sz w:val="20"/>
                <w:szCs w:val="20"/>
              </w:rPr>
              <w:t xml:space="preserve">np.random.seed(SEED)</w:t>
            </w:r>
          </w:p>
          <w:p>
            <w:pPr>
              <w:spacing w:after="40" w:before="0"/>
            </w:pPr>
            <w:r>
              <w:rPr>
                <w:rFonts w:ascii="Arial" w:cs="Arial" w:eastAsia="Arial" w:hAnsi="Arial"/>
                <w:color w:val="374151"/>
                <w:sz w:val="20"/>
                <w:szCs w:val="20"/>
              </w:rPr>
              <w:t xml:space="preserve">torch.manual_seed(SEED)   # o tf.random.set_seed(SEED) si usan TensorFlow</w:t>
            </w:r>
          </w:p>
          <w:p>
            <w:pPr>
              <w:spacing w:after="40" w:before="0"/>
            </w:pPr>
            <w:r>
              <w:rPr>
                <w:rFonts w:ascii="Arial" w:cs="Arial" w:eastAsia="Arial" w:hAnsi="Arial"/>
                <w:color w:val="374151"/>
                <w:sz w:val="20"/>
                <w:szCs w:val="20"/>
              </w:rPr>
              <w:t xml:space="preserve">env.reset(seed=SEED)       # gymnasium acepta seed en reset()</w:t>
            </w:r>
          </w:p>
          <w:p>
            <w:pPr>
              <w:spacing w:after="40" w:before="0"/>
            </w:pPr>
            <w:r>
              <w:rPr>
                <w:rFonts w:ascii="Arial" w:cs="Arial" w:eastAsia="Arial" w:hAnsi="Arial"/>
                <w:color w:val="374151"/>
                <w:sz w:val="20"/>
                <w:szCs w:val="20"/>
              </w:rPr>
              <w:t xml:space="preserve"># Si usan Stable Baselines3:</w:t>
            </w:r>
          </w:p>
          <w:p>
            <w:pPr>
              <w:spacing w:after="40" w:before="0"/>
            </w:pPr>
            <w:r>
              <w:rPr>
                <w:rFonts w:ascii="Arial" w:cs="Arial" w:eastAsia="Arial" w:hAnsi="Arial"/>
                <w:color w:val="374151"/>
                <w:sz w:val="20"/>
                <w:szCs w:val="20"/>
              </w:rPr>
              <w:t xml:space="preserve">model = DQN(..., seed=SEED)</w:t>
            </w:r>
          </w:p>
        </w:tc>
      </w:tr>
    </w:tbl>
    <w:p>
      <w:pPr>
        <w:spacing w:after="60" w:before="0"/>
      </w:pPr>
      <w:r>
        <w:t xml:space="preserve"/>
      </w:r>
    </w:p>
    <w:p>
      <w:pPr>
        <w:pStyle w:val="Heading2"/>
        <w:spacing w:after="100" w:before="280"/>
      </w:pPr>
      <w:r>
        <w:rPr>
          <w:rFonts w:ascii="Arial" w:cs="Arial" w:eastAsia="Arial" w:hAnsi="Arial"/>
          <w:b/>
          <w:bCs/>
          <w:color w:val="2E5FA3"/>
          <w:sz w:val="26"/>
          <w:szCs w:val="26"/>
        </w:rPr>
        <w:t xml:space="preserve">7.2 Qué reportar en el documento final</w:t>
      </w:r>
    </w:p>
    <w:p>
      <w:pPr>
        <w:pStyle w:val="ListParagraph"/>
        <w:numPr>
          <w:ilvl w:val="0"/>
          <w:numId w:val="2"/>
        </w:numPr>
        <w:spacing w:after="40" w:before="40"/>
      </w:pPr>
      <w:r>
        <w:rPr>
          <w:rFonts w:ascii="Arial" w:cs="Arial" w:eastAsia="Arial" w:hAnsi="Arial"/>
          <w:color w:val="374151"/>
          <w:sz w:val="20"/>
          <w:szCs w:val="20"/>
        </w:rPr>
        <w:t xml:space="preserve">Total de pasos de entorno (environment steps).</w:t>
      </w:r>
    </w:p>
    <w:p>
      <w:pPr>
        <w:pStyle w:val="ListParagraph"/>
        <w:numPr>
          <w:ilvl w:val="0"/>
          <w:numId w:val="2"/>
        </w:numPr>
        <w:spacing w:after="40" w:before="40"/>
      </w:pPr>
      <w:r>
        <w:rPr>
          <w:rFonts w:ascii="Arial" w:cs="Arial" w:eastAsia="Arial" w:hAnsi="Arial"/>
          <w:color w:val="374151"/>
          <w:sz w:val="20"/>
          <w:szCs w:val="20"/>
        </w:rPr>
        <w:t xml:space="preserve">Tiempo de entrenamiento en wall-clock y hardware usado.</w:t>
      </w:r>
    </w:p>
    <w:p>
      <w:pPr>
        <w:pStyle w:val="ListParagraph"/>
        <w:numPr>
          <w:ilvl w:val="0"/>
          <w:numId w:val="2"/>
        </w:numPr>
        <w:spacing w:after="40" w:before="40"/>
      </w:pPr>
      <w:r>
        <w:rPr>
          <w:rFonts w:ascii="Arial" w:cs="Arial" w:eastAsia="Arial" w:hAnsi="Arial"/>
          <w:color w:val="374151"/>
          <w:sz w:val="20"/>
          <w:szCs w:val="20"/>
        </w:rPr>
        <w:t xml:space="preserve">Métricas loggeadas durante el entrenamiento: reward promedio por episodio, epsilon actual, loss de la red.</w:t>
      </w:r>
    </w:p>
    <w:p>
      <w:pPr>
        <w:pStyle w:val="ListParagraph"/>
        <w:numPr>
          <w:ilvl w:val="0"/>
          <w:numId w:val="2"/>
        </w:numPr>
        <w:spacing w:after="40" w:before="40"/>
      </w:pPr>
      <w:r>
        <w:rPr>
          <w:rFonts w:ascii="Arial" w:cs="Arial" w:eastAsia="Arial" w:hAnsi="Arial"/>
          <w:color w:val="374151"/>
          <w:sz w:val="20"/>
          <w:szCs w:val="20"/>
        </w:rPr>
        <w:t xml:space="preserve">Criterio de parada: número de pasos fijo o convergencia de la curva de reward.</w:t>
      </w:r>
    </w:p>
    <w:p>
      <w:pPr>
        <w:pStyle w:val="ListParagraph"/>
        <w:numPr>
          <w:ilvl w:val="0"/>
          <w:numId w:val="2"/>
        </w:numPr>
        <w:spacing w:after="40" w:before="40"/>
      </w:pPr>
      <w:r>
        <w:rPr>
          <w:rFonts w:ascii="Arial" w:cs="Arial" w:eastAsia="Arial" w:hAnsi="Arial"/>
          <w:color w:val="374151"/>
          <w:sz w:val="20"/>
          <w:szCs w:val="20"/>
        </w:rPr>
        <w:t xml:space="preserve">Semilla usada para reproducibilidad.</w:t>
      </w:r>
    </w:p>
    <w:p>
      <w:pPr>
        <w:spacing w:after="60" w:before="0"/>
      </w:pPr>
      <w:r>
        <w:t xml:space="preserve"/>
      </w:r>
    </w:p>
    <w:p>
      <w:pPr>
        <w:spacing w:after="60" w:before="0"/>
      </w:pPr>
      <w:r>
        <w:t xml:space="preserve"/>
      </w:r>
    </w:p>
    <w:p>
      <w:pPr>
        <w:pStyle w:val="Heading1"/>
        <w:pBdr>
          <w:bottom w:val="single" w:color="2E5FA3" w:sz="8" w:space="4"/>
        </w:pBdr>
        <w:spacing w:after="120" w:before="360"/>
      </w:pPr>
      <w:r>
        <w:rPr>
          <w:rFonts w:ascii="Arial" w:cs="Arial" w:eastAsia="Arial" w:hAnsi="Arial"/>
          <w:b/>
          <w:bCs/>
          <w:color w:val="1B2A4A"/>
          <w:sz w:val="36"/>
          <w:szCs w:val="36"/>
        </w:rPr>
        <w:t xml:space="preserve">8. Evaluación</w:t>
      </w:r>
    </w:p>
    <w:p>
      <w:pPr>
        <w:pStyle w:val="Heading2"/>
        <w:spacing w:after="100" w:before="280"/>
      </w:pPr>
      <w:r>
        <w:rPr>
          <w:rFonts w:ascii="Arial" w:cs="Arial" w:eastAsia="Arial" w:hAnsi="Arial"/>
          <w:b/>
          <w:bCs/>
          <w:color w:val="2E5FA3"/>
          <w:sz w:val="26"/>
          <w:szCs w:val="26"/>
        </w:rPr>
        <w:t xml:space="preserve">8.1 Protocolo</w:t>
      </w:r>
    </w:p>
    <w:p>
      <w:pPr>
        <w:spacing w:after="80" w:before="80"/>
      </w:pPr>
      <w:r>
        <w:rPr>
          <w:rFonts w:ascii="Arial" w:cs="Arial" w:eastAsia="Arial" w:hAnsi="Arial"/>
          <w:color w:val="374151"/>
          <w:sz w:val="20"/>
          <w:szCs w:val="20"/>
        </w:rPr>
        <w:t xml:space="preserve">Usar el split oficial de src/data.py (split()). No alterar los cortes temporales de configs/default.yaml. El agente se entrena en el periodo de train y se evalúa una única vez en el periodo de test, sin ningún ajuste de parámetros posterior.</w:t>
      </w:r>
    </w:p>
    <w:p>
      <w:pPr>
        <w:spacing w:after="60" w:before="0"/>
      </w:pPr>
      <w:r>
        <w:t xml:space="preserve"/>
      </w:r>
    </w:p>
    <w:p>
      <w:pPr>
        <w:pStyle w:val="Heading2"/>
        <w:spacing w:after="100" w:before="280"/>
      </w:pPr>
      <w:r>
        <w:rPr>
          <w:rFonts w:ascii="Arial" w:cs="Arial" w:eastAsia="Arial" w:hAnsi="Arial"/>
          <w:b/>
          <w:bCs/>
          <w:color w:val="2E5FA3"/>
          <w:sz w:val="26"/>
          <w:szCs w:val="26"/>
        </w:rPr>
        <w:t xml:space="preserve">8.2 Métricas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Métrica</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Por qué importa</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Sortino ratio</w:t>
            </w:r>
          </w:p>
        </w:tc>
        <w:tc>
          <w:tcPr>
            <w:tcW w:type="dxa" w:w="2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Retorno ajustado penalizando solo volatilidad negativa (downside deviation)</w:t>
            </w:r>
          </w:p>
        </w:tc>
        <w:tc>
          <w:tcPr>
            <w:tcW w:type="dxa" w:w="47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MÉTRICA PRIMARIA del taller. Castiga caídas fuertes sin penalizar volatilidad positiva. Un agente con Sortino alto gana bien y cae poco.</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Cumulative return</w:t>
            </w:r>
          </w:p>
        </w:tc>
        <w:tc>
          <w:tcPr>
            <w:tcW w:type="dxa" w:w="2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Retorno acumulado total del portafolio</w:t>
            </w:r>
          </w:p>
        </w:tc>
        <w:tc>
          <w:tcPr>
            <w:tcW w:type="dxa" w:w="47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Medida de ganancia absoluta. Sin contexto de riesgo no es suficiente, pero es intuitiva para presentar.</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Max drawdown</w:t>
            </w:r>
          </w:p>
        </w:tc>
        <w:tc>
          <w:tcPr>
            <w:tcW w:type="dxa" w:w="2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Peor caída desde un máximo hasta un mínimo posterior</w:t>
            </w:r>
          </w:p>
        </w:tc>
        <w:tc>
          <w:tcPr>
            <w:tcW w:type="dxa" w:w="47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Mide el peor escenario vivido. Un max drawdown del 50% requiere un 100% de ganancia para recuperarse.</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Total fees paid</w:t>
            </w:r>
          </w:p>
        </w:tc>
        <w:tc>
          <w:tcPr>
            <w:tcW w:type="dxa" w:w="2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Costos totales pagados por rebalancear</w:t>
            </w:r>
          </w:p>
        </w:tc>
        <w:tc>
          <w:tcPr>
            <w:tcW w:type="dxa" w:w="47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Indica si el agente opera demasiado. Un agente que paga más en fees que lo que gana en alpha tiene un problema de diseño.</w:t>
            </w:r>
          </w:p>
        </w:tc>
      </w:tr>
    </w:tbl>
    <w:p>
      <w:pPr>
        <w:spacing w:after="60" w:before="0"/>
      </w:pPr>
      <w:r>
        <w:t xml:space="preserve"/>
      </w:r>
    </w:p>
    <w:p>
      <w:pPr>
        <w:pStyle w:val="Heading2"/>
        <w:spacing w:after="100" w:before="280"/>
      </w:pPr>
      <w:r>
        <w:rPr>
          <w:rFonts w:ascii="Arial" w:cs="Arial" w:eastAsia="Arial" w:hAnsi="Arial"/>
          <w:b/>
          <w:bCs/>
          <w:color w:val="2E5FA3"/>
          <w:sz w:val="26"/>
          <w:szCs w:val="26"/>
        </w:rPr>
        <w:t xml:space="preserve">8.3 Condiciones de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Condición</w:t>
            </w:r>
          </w:p>
        </w:tc>
        <w:tc>
          <w:tcPr>
            <w:tcW w:type="dxa" w:w="7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 bps</w:t>
            </w:r>
          </w:p>
        </w:tc>
        <w:tc>
          <w:tcPr>
            <w:tcW w:type="dxa" w:w="73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Sin costos de transacción. Muestra el retorno bruto del agente. Si el agente falla aquí, el problema es el reward o el estado, no los costos.</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10 bps</w:t>
            </w:r>
          </w:p>
        </w:tc>
        <w:tc>
          <w:tcPr>
            <w:tcW w:type="dxa" w:w="73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Con costos reales. Muestra si el agente es robusto a la sobreoperación. Una caída grande de 0 bps a 10 bps indica exceso de turnover.</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Múltiples seeds (≥ 3)</w:t>
            </w:r>
          </w:p>
        </w:tc>
        <w:tc>
          <w:tcPr>
            <w:tcW w:type="dxa" w:w="73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Correr con al menos 3 seeds distintas. Reportar media y spread en las equity curves. Un resultado bueno con alta varianza entre seeds sugiere que el agente tuvo suerte, no que aprendió algo robusto.</w:t>
            </w:r>
          </w:p>
        </w:tc>
      </w:tr>
    </w:tbl>
    <w:p>
      <w:pPr>
        <w:spacing w:after="60" w:before="0"/>
      </w:pPr>
      <w:r>
        <w:t xml:space="preserve"/>
      </w:r>
    </w:p>
    <w:p>
      <w:pPr>
        <w:spacing w:after="60" w:before="0"/>
      </w:pPr>
      <w:r>
        <w:t xml:space="preserve"/>
      </w:r>
    </w:p>
    <w:p>
      <w:pPr>
        <w:pStyle w:val="Heading1"/>
        <w:pBdr>
          <w:bottom w:val="single" w:color="2E5FA3" w:sz="8" w:space="4"/>
        </w:pBdr>
        <w:spacing w:after="120" w:before="360"/>
      </w:pPr>
      <w:r>
        <w:rPr>
          <w:rFonts w:ascii="Arial" w:cs="Arial" w:eastAsia="Arial" w:hAnsi="Arial"/>
          <w:b/>
          <w:bCs/>
          <w:color w:val="1B2A4A"/>
          <w:sz w:val="36"/>
          <w:szCs w:val="36"/>
        </w:rPr>
        <w:t xml:space="preserve">9. Discusión — Preguntas Guía</w:t>
      </w:r>
    </w:p>
    <w:p>
      <w:pPr>
        <w:spacing w:after="80" w:before="80"/>
      </w:pPr>
      <w:r>
        <w:rPr>
          <w:rFonts w:ascii="Arial" w:cs="Arial" w:eastAsia="Arial" w:hAnsi="Arial"/>
          <w:color w:val="374151"/>
          <w:sz w:val="20"/>
          <w:szCs w:val="20"/>
        </w:rPr>
        <w:t xml:space="preserve">Un párrafo por cada uno de los siguientes temas, explicando cómo se manifestó en el proyecto y cómo se abordó:</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Tema</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Pregunta guía</w:t>
            </w:r>
          </w:p>
        </w:tc>
        <w:tc>
          <w:tcPr>
            <w:tcW w:type="dxa" w:w="4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Conexión con el diseño del agente</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Reward design y reward hacking</w:t>
            </w:r>
          </w:p>
        </w:tc>
        <w:tc>
          <w:tcPr>
            <w:tcW w:type="dxa" w:w="2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¿El agente encontró un exploit de la función de recompensa? ¿Cómo se detectó y corrigió?</w:t>
            </w:r>
          </w:p>
        </w:tc>
        <w:tc>
          <w:tcPr>
            <w:tcW w:type="dxa" w:w="49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Documentar el comportamiento del agente en Reward 1 y 2 antes de llegar al candidato final.</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Sample efficiency</w:t>
            </w:r>
          </w:p>
        </w:tc>
        <w:tc>
          <w:tcPr>
            <w:tcW w:type="dxa" w:w="2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Los regímenes de mercado son largos y las observaciones no son independientes. ¿Cómo afectó el entrenamiento?</w:t>
            </w:r>
          </w:p>
        </w:tc>
        <w:tc>
          <w:tcPr>
            <w:tcW w:type="dxa" w:w="49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Una hora de mercado altamente volátil puede generar 20 transiciones con estructura similar. El replay buffer rompe parcialmente esta correlación.</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Train-to-deploy distribution shift</w:t>
            </w:r>
          </w:p>
        </w:tc>
        <w:tc>
          <w:tcPr>
            <w:tcW w:type="dxa" w:w="2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¿El comportamiento del agente en test fue distinto al de train? ¿Por qué?</w:t>
            </w:r>
          </w:p>
        </w:tc>
        <w:tc>
          <w:tcPr>
            <w:tcW w:type="dxa" w:w="49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Los mercados no son estacionarios. El agente puede aprender a operar bien en el régimen de train y mal en el de test si los regímenes difieren.</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Non-stationarity y cambio de régimen</w:t>
            </w:r>
          </w:p>
        </w:tc>
        <w:tc>
          <w:tcPr>
            <w:tcW w:type="dxa" w:w="28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¿El mercado cambió de comportamiento durante el periodo de evaluación? ¿Cómo respondió el agente?</w:t>
            </w:r>
          </w:p>
        </w:tc>
        <w:tc>
          <w:tcPr>
            <w:tcW w:type="dxa" w:w="49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Un agente que aprendió a ser defensivo en alta volatilidad puede perder oportunidades en un mercado que se vuelve alcista.</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Long-horizon credit assignment</w:t>
            </w:r>
          </w:p>
        </w:tc>
        <w:tc>
          <w:tcPr>
            <w:tcW w:type="dxa" w:w="28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¿Fue difícil para el agente aprender que acciones tempranas afectaron retornos tardíos?</w:t>
            </w:r>
          </w:p>
        </w:tc>
        <w:tc>
          <w:tcPr>
            <w:tcW w:type="dxa" w:w="49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 γ=0.99, el agente en principio puede propagar crédito hacia el pasado, pero en mercados con señales débiles esto es difícil en la práctica.</w:t>
            </w:r>
          </w:p>
        </w:tc>
      </w:tr>
    </w:tbl>
    <w:p>
      <w:pPr>
        <w:spacing w:after="60" w:before="0"/>
      </w:pPr>
      <w:r>
        <w:t xml:space="preserve"/>
      </w:r>
    </w:p>
    <w:p>
      <w:pPr>
        <w:spacing w:after="60" w:before="0"/>
      </w:pPr>
      <w:r>
        <w:t xml:space="preserve"/>
      </w:r>
    </w:p>
    <w:p>
      <w:pPr>
        <w:pStyle w:val="Heading1"/>
        <w:pBdr>
          <w:bottom w:val="single" w:color="2E5FA3" w:sz="8" w:space="4"/>
        </w:pBdr>
        <w:spacing w:after="120" w:before="360"/>
      </w:pPr>
      <w:r>
        <w:rPr>
          <w:rFonts w:ascii="Arial" w:cs="Arial" w:eastAsia="Arial" w:hAnsi="Arial"/>
          <w:b/>
          <w:bCs/>
          <w:color w:val="1B2A4A"/>
          <w:sz w:val="36"/>
          <w:szCs w:val="36"/>
        </w:rPr>
        <w:t xml:space="preserve">10. Plan de Trabajo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Rol</w:t>
            </w:r>
          </w:p>
        </w:tc>
        <w:tc>
          <w:tcPr>
            <w:tcW w:type="dxa" w:w="3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Responsabilidades</w:t>
            </w:r>
          </w:p>
        </w:tc>
        <w:tc>
          <w:tcPr>
            <w:tcW w:type="dxa" w:w="4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Debe poder responder en la defensa</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Persona 1
Datos, EDA y tesis</w:t>
            </w:r>
          </w:p>
        </w:tc>
        <w:tc>
          <w:tcPr>
            <w:tcW w:type="dxa" w:w="36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Ejecutar notebook EDA con datos de 1h. Analizar retornos, volatilidad, correlaciones y regímenes. Documentar el umbral del régimen defensivo (percentil 75 de std_24h). Actualizar la tesis con hallazgos.</w:t>
            </w:r>
          </w:p>
        </w:tc>
        <w:tc>
          <w:tcPr>
            <w:tcW w:type="dxa" w:w="41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¿Qué patrones vimos? ¿Por qué 1h con ventanas múltiples? ¿Cómo se comportan las correlaciones? ¿Cuál es el umbral del régimen defensivo?</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Persona 2
Features, entorno y reward</w:t>
            </w:r>
          </w:p>
        </w:tc>
        <w:tc>
          <w:tcPr>
            <w:tcW w:type="dxa" w:w="36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Implementar TradingEnv. Definir _obs() con 31 features + normalización con StandardScaler. Implementar _weights_from_action() y las tres versiones de _reward(). Verificar ausencia de NaN y lookahead.</w:t>
            </w:r>
          </w:p>
        </w:tc>
        <w:tc>
          <w:tcPr>
            <w:tcW w:type="dxa" w:w="41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¿Qué observa el agente? ¿Cómo se normaliza el estado? ¿Cómo se calcula el turnover y el drawdown penalty? ¿Dónde podría haber lookahead?</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Persona 3
Agente, entrenamiento y evaluación</w:t>
            </w:r>
          </w:p>
        </w:tc>
        <w:tc>
          <w:tcPr>
            <w:tcW w:type="dxa" w:w="36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Implementar Agent con DQN (+ Double DQN). Entrenar con semilla fija. Iterar sobre las tres versiones de reward. Comparar contra baselines. Generar métricas y gráficos.</w:t>
            </w:r>
          </w:p>
        </w:tc>
        <w:tc>
          <w:tcPr>
            <w:tcW w:type="dxa" w:w="41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¿Cómo entrenamos? ¿Qué hiperparámetros usamos? ¿Cómo se comportó contra baselines? ¿Cuánto pagó en fees?</w:t>
            </w:r>
          </w:p>
        </w:tc>
      </w:tr>
    </w:tbl>
    <w:p>
      <w:pPr>
        <w:spacing w:after="60" w:before="0"/>
      </w:pPr>
      <w:r>
        <w:t xml:space="preserve"/>
      </w:r>
    </w:p>
    <w:p>
      <w:pPr>
        <w:spacing w:after="60" w:before="0"/>
      </w:pPr>
      <w:r>
        <w:t xml:space="preserve"/>
      </w:r>
    </w:p>
    <w:p>
      <w:pPr>
        <w:pStyle w:val="Heading1"/>
        <w:pBdr>
          <w:bottom w:val="single" w:color="2E5FA3" w:sz="8" w:space="4"/>
        </w:pBdr>
        <w:spacing w:after="120" w:before="360"/>
      </w:pPr>
      <w:r>
        <w:rPr>
          <w:rFonts w:ascii="Arial" w:cs="Arial" w:eastAsia="Arial" w:hAnsi="Arial"/>
          <w:b/>
          <w:bCs/>
          <w:color w:val="1B2A4A"/>
          <w:sz w:val="36"/>
          <w:szCs w:val="36"/>
        </w:rPr>
        <w:t xml:space="preserve">11. Riesgos y Cuidados Metodológicos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91B1B"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EE2E2" w:val="clear"/>
            <w:tcMar>
              <w:top w:type="dxa" w:w="120"/>
              <w:left w:type="dxa" w:w="160"/>
              <w:bottom w:type="dxa" w:w="120"/>
              <w:right w:type="dxa" w:w="160"/>
            </w:tcMar>
          </w:tcPr>
          <w:p>
            <w:pPr>
              <w:spacing w:after="60" w:before="0"/>
            </w:pPr>
            <w:r>
              <w:rPr>
                <w:rFonts w:ascii="Arial" w:cs="Arial" w:eastAsia="Arial" w:hAnsi="Arial"/>
                <w:b/>
                <w:bCs/>
                <w:color w:val="991B1B"/>
                <w:sz w:val="20"/>
                <w:szCs w:val="20"/>
              </w:rPr>
              <w:t xml:space="preserve">CRÍTICO — No usar información futura</w:t>
            </w:r>
          </w:p>
          <w:p>
            <w:pPr>
              <w:spacing w:after="40" w:before="0"/>
            </w:pPr>
            <w:r>
              <w:rPr>
                <w:rFonts w:ascii="Arial" w:cs="Arial" w:eastAsia="Arial" w:hAnsi="Arial"/>
                <w:color w:val="374151"/>
                <w:sz w:val="20"/>
                <w:szCs w:val="20"/>
              </w:rPr>
              <w:t xml:space="preserve">Cualquier feature debe calcularse solo con datos disponibles hasta t. Incluye: rolling windows, scalers, splits. Verificar dos veces antes de entrenar.</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91B1B"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EE2E2" w:val="clear"/>
            <w:tcMar>
              <w:top w:type="dxa" w:w="120"/>
              <w:left w:type="dxa" w:w="160"/>
              <w:bottom w:type="dxa" w:w="120"/>
              <w:right w:type="dxa" w:w="160"/>
            </w:tcMar>
          </w:tcPr>
          <w:p>
            <w:pPr>
              <w:spacing w:after="60" w:before="0"/>
            </w:pPr>
            <w:r>
              <w:rPr>
                <w:rFonts w:ascii="Arial" w:cs="Arial" w:eastAsia="Arial" w:hAnsi="Arial"/>
                <w:b/>
                <w:bCs/>
                <w:color w:val="991B1B"/>
                <w:sz w:val="20"/>
                <w:szCs w:val="20"/>
              </w:rPr>
              <w:t xml:space="preserve">CRÍTICO — No ajustar scalers con datos de test</w:t>
            </w:r>
          </w:p>
          <w:p>
            <w:pPr>
              <w:spacing w:after="40" w:before="0"/>
            </w:pPr>
            <w:r>
              <w:rPr>
                <w:rFonts w:ascii="Arial" w:cs="Arial" w:eastAsia="Arial" w:hAnsi="Arial"/>
                <w:color w:val="374151"/>
                <w:sz w:val="20"/>
                <w:szCs w:val="20"/>
              </w:rPr>
              <w:t xml:space="preserve">El StandardScaler debe hacer fit() solo en datos de train y transform() en test y en cada llamada a _obs().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45309"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pPr>
              <w:spacing w:after="60" w:before="0"/>
            </w:pPr>
            <w:r>
              <w:rPr>
                <w:rFonts w:ascii="Arial" w:cs="Arial" w:eastAsia="Arial" w:hAnsi="Arial"/>
                <w:b/>
                <w:bCs/>
                <w:color w:val="B45309"/>
                <w:sz w:val="20"/>
                <w:szCs w:val="20"/>
              </w:rPr>
              <w:t xml:space="preserve">IMPORTANTE — Verificar src/env.py antes de incluir acciones short</w:t>
            </w:r>
          </w:p>
          <w:p>
            <w:pPr>
              <w:spacing w:after="40" w:before="0"/>
            </w:pPr>
            <w:r>
              <w:rPr>
                <w:rFonts w:ascii="Arial" w:cs="Arial" w:eastAsia="Arial" w:hAnsi="Arial"/>
                <w:color w:val="374151"/>
                <w:sz w:val="20"/>
                <w:szCs w:val="20"/>
              </w:rPr>
              <w:t xml:space="preserve">Confirmar que el entorno acepta pesos negativos antes de incluir acciones short. Si no lo hace, las acciones 9-11 originales producen pesos inválidos silenciosamente.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45309"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pPr>
              <w:spacing w:after="60" w:before="0"/>
            </w:pPr>
            <w:r>
              <w:rPr>
                <w:rFonts w:ascii="Arial" w:cs="Arial" w:eastAsia="Arial" w:hAnsi="Arial"/>
                <w:b/>
                <w:bCs/>
                <w:color w:val="B45309"/>
                <w:sz w:val="20"/>
                <w:szCs w:val="20"/>
              </w:rPr>
              <w:t xml:space="preserve">IMPORTANTE — No optimizar hiperparámetros mirando la evaluación final</w:t>
            </w:r>
          </w:p>
          <w:p>
            <w:pPr>
              <w:spacing w:after="40" w:before="0"/>
            </w:pPr>
            <w:r>
              <w:rPr>
                <w:rFonts w:ascii="Arial" w:cs="Arial" w:eastAsia="Arial" w:hAnsi="Arial"/>
                <w:color w:val="374151"/>
                <w:sz w:val="20"/>
                <w:szCs w:val="20"/>
              </w:rPr>
              <w:t xml:space="preserve">Cualquier ajuste posterior a ver los resultados de test es causa de descalificación. Todos los hiperparámetros se fijan en train.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A74"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D4EFED" w:val="clear"/>
            <w:tcMar>
              <w:top w:type="dxa" w:w="120"/>
              <w:left w:type="dxa" w:w="160"/>
              <w:bottom w:type="dxa" w:w="120"/>
              <w:right w:type="dxa" w:w="160"/>
            </w:tcMar>
          </w:tcPr>
          <w:p>
            <w:pPr>
              <w:spacing w:after="60" w:before="0"/>
            </w:pPr>
            <w:r>
              <w:rPr>
                <w:rFonts w:ascii="Arial" w:cs="Arial" w:eastAsia="Arial" w:hAnsi="Arial"/>
                <w:b/>
                <w:bCs/>
                <w:color w:val="1A7A74"/>
                <w:sz w:val="20"/>
                <w:szCs w:val="20"/>
              </w:rPr>
              <w:t xml:space="preserve">BUENA PRÁCTICA — Registrar también los experimentos que fallen</w:t>
            </w:r>
          </w:p>
          <w:p>
            <w:pPr>
              <w:spacing w:after="40" w:before="0"/>
            </w:pPr>
            <w:r>
              <w:rPr>
                <w:rFonts w:ascii="Arial" w:cs="Arial" w:eastAsia="Arial" w:hAnsi="Arial"/>
                <w:color w:val="374151"/>
                <w:sz w:val="20"/>
                <w:szCs w:val="20"/>
              </w:rPr>
              <w:t xml:space="preserve">La rúbrica premia la metodología, no solo el resultado. Un experimento fallido bien documentado (reward 1 → exploit encontrado → decisión de pasar a reward 2) es exactamente lo que el profesor quiere ver.</w:t>
            </w:r>
          </w:p>
        </w:tc>
      </w:tr>
    </w:tbl>
    <w:p>
      <w:pPr>
        <w:spacing w:after="60" w:before="0"/>
      </w:pPr>
      <w:r>
        <w:t xml:space="preserve"/>
      </w:r>
    </w:p>
    <w:p>
      <w:pPr>
        <w:spacing w:after="60" w:before="0"/>
      </w:pPr>
      <w:r>
        <w:t xml:space="preserve"/>
      </w:r>
    </w:p>
    <w:p>
      <w:pPr>
        <w:pStyle w:val="Heading1"/>
        <w:pBdr>
          <w:bottom w:val="single" w:color="2E5FA3" w:sz="8" w:space="4"/>
        </w:pBdr>
        <w:spacing w:after="120" w:before="360"/>
      </w:pPr>
      <w:r>
        <w:rPr>
          <w:rFonts w:ascii="Arial" w:cs="Arial" w:eastAsia="Arial" w:hAnsi="Arial"/>
          <w:b/>
          <w:bCs/>
          <w:color w:val="1B2A4A"/>
          <w:sz w:val="36"/>
          <w:szCs w:val="36"/>
        </w:rPr>
        <w:t xml:space="preserve">12. Rúbrica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3660"/>
      </w:tblGrid>
      <w:tr>
        <w:trPr>
          <w:tblHeader/>
        </w:trPr>
        <w:tc>
          <w:tcPr>
            <w:tcW w:type="dxa" w:w="4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Componente</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Peso</w:t>
            </w:r>
          </w:p>
        </w:tc>
        <w:tc>
          <w:tcPr>
            <w:tcW w:type="dxa" w:w="36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Sección de este documento</w:t>
            </w:r>
          </w:p>
        </w:tc>
      </w:tr>
      <w:tr>
        <w:tc>
          <w:tcPr>
            <w:tcW w:type="dxa" w:w="45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Formulación del problema: estado y acciones</w:t>
            </w:r>
          </w:p>
        </w:tc>
        <w:tc>
          <w:tcPr>
            <w:tcW w:type="dxa" w:w="12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20%</w:t>
            </w:r>
          </w:p>
        </w:tc>
        <w:tc>
          <w:tcPr>
            <w:tcW w:type="dxa" w:w="36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Sección 1</w:t>
            </w:r>
          </w:p>
        </w:tc>
      </w:tr>
      <w:tr>
        <w:tc>
          <w:tcPr>
            <w:tcW w:type="dxa" w:w="45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Implementación del entorno</w:t>
            </w:r>
          </w:p>
        </w:tc>
        <w:tc>
          <w:tcPr>
            <w:tcW w:type="dxa" w:w="12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15%</w:t>
            </w:r>
          </w:p>
        </w:tc>
        <w:tc>
          <w:tcPr>
            <w:tcW w:type="dxa" w:w="36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Sección 3</w:t>
            </w:r>
          </w:p>
        </w:tc>
      </w:tr>
      <w:tr>
        <w:tc>
          <w:tcPr>
            <w:tcW w:type="dxa" w:w="45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Reward design con iteración documentada</w:t>
            </w:r>
          </w:p>
        </w:tc>
        <w:tc>
          <w:tcPr>
            <w:tcW w:type="dxa" w:w="12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15%</w:t>
            </w:r>
          </w:p>
        </w:tc>
        <w:tc>
          <w:tcPr>
            <w:tcW w:type="dxa" w:w="36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Sección 4</w:t>
            </w:r>
          </w:p>
        </w:tc>
      </w:tr>
      <w:tr>
        <w:tc>
          <w:tcPr>
            <w:tcW w:type="dxa" w:w="45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Protocolo de evaluación: métricas, baselines, ablación</w:t>
            </w:r>
          </w:p>
        </w:tc>
        <w:tc>
          <w:tcPr>
            <w:tcW w:type="dxa" w:w="12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20%</w:t>
            </w:r>
          </w:p>
        </w:tc>
        <w:tc>
          <w:tcPr>
            <w:tcW w:type="dxa" w:w="36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Secciones 6 y 8</w:t>
            </w:r>
          </w:p>
        </w:tc>
      </w:tr>
      <w:tr>
        <w:tc>
          <w:tcPr>
            <w:tcW w:type="dxa" w:w="45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Comparación contra baselines</w:t>
            </w:r>
          </w:p>
        </w:tc>
        <w:tc>
          <w:tcPr>
            <w:tcW w:type="dxa" w:w="12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10%</w:t>
            </w:r>
          </w:p>
        </w:tc>
        <w:tc>
          <w:tcPr>
            <w:tcW w:type="dxa" w:w="36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Sección 6</w:t>
            </w:r>
          </w:p>
        </w:tc>
      </w:tr>
      <w:tr>
        <w:tc>
          <w:tcPr>
            <w:tcW w:type="dxa" w:w="45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Discusión y reflexión</w:t>
            </w:r>
          </w:p>
        </w:tc>
        <w:tc>
          <w:tcPr>
            <w:tcW w:type="dxa" w:w="120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15%</w:t>
            </w:r>
          </w:p>
        </w:tc>
        <w:tc>
          <w:tcPr>
            <w:tcW w:type="dxa" w:w="36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Secciones 9 y 11</w:t>
            </w:r>
          </w:p>
        </w:tc>
      </w:tr>
      <w:tr>
        <w:tc>
          <w:tcPr>
            <w:tcW w:type="dxa" w:w="45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Submission pasa todos los tests</w:t>
            </w:r>
          </w:p>
        </w:tc>
        <w:tc>
          <w:tcPr>
            <w:tcW w:type="dxa" w:w="120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5%</w:t>
            </w:r>
          </w:p>
        </w:tc>
        <w:tc>
          <w:tcPr>
            <w:tcW w:type="dxa" w:w="3660"/>
            <w:tcBorders>
              <w:top w:val="single" w:color="9CA3AF" w:sz="1"/>
              <w:left w:val="single" w:color="9CA3AF" w:sz="1"/>
              <w:bottom w:val="single" w:color="9CA3AF" w:sz="1"/>
              <w:right w:val="single" w:color="9CA3AF"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uv run pytest tests/test_submission.py -v</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5FA3"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tcPr>
          <w:p>
            <w:pPr>
              <w:spacing w:after="60" w:before="0"/>
            </w:pPr>
            <w:r>
              <w:rPr>
                <w:rFonts w:ascii="Arial" w:cs="Arial" w:eastAsia="Arial" w:hAnsi="Arial"/>
                <w:b/>
                <w:bCs/>
                <w:color w:val="2E5FA3"/>
                <w:sz w:val="20"/>
                <w:szCs w:val="20"/>
              </w:rPr>
              <w:t xml:space="preserve">Nota final sobre la rúbrica</w:t>
            </w:r>
          </w:p>
          <w:p>
            <w:pPr>
              <w:spacing w:after="40" w:before="0"/>
            </w:pPr>
            <w:r>
              <w:rPr>
                <w:rFonts w:ascii="Arial" w:cs="Arial" w:eastAsia="Arial" w:hAnsi="Arial"/>
                <w:color w:val="374151"/>
                <w:sz w:val="20"/>
                <w:szCs w:val="20"/>
              </w:rPr>
              <w:t xml:space="preserve">La rúbrica no incluye el resultado en el held-out set. Un agente que falla en evaluación pero demuestra metodología rigurosa puede obtener la nota máxima. Documentar los experimentos fallidos es tan importante como los exitosos.</w:t>
            </w:r>
          </w:p>
        </w:tc>
      </w:tr>
    </w:tbl>
    <w:p>
      <w:pPr>
        <w:spacing w:after="60" w:before="0"/>
      </w:pPr>
      <w:r>
        <w:t xml:space="preserve"/>
      </w:r>
    </w:p>
    <w:p>
      <w:pPr>
        <w:spacing w:after="0" w:before="240"/>
        <w:jc w:val="center"/>
      </w:pPr>
      <w:r>
        <w:rPr>
          <w:rFonts w:ascii="Arial" w:cs="Arial" w:eastAsia="Arial" w:hAnsi="Arial"/>
          <w:color w:val="9CA3AF"/>
          <w:sz w:val="18"/>
          <w:szCs w:val="18"/>
        </w:rPr>
        <w:t xml:space="preserve">Bellman Capital — Guía Metodológica del Equipo — Edición Revisada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7A7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2026-06-06T16:36:52.155Z</dcterms:created>
  <dcterms:modified xsi:type="dcterms:W3CDTF">2026-06-06T16:36:52.155Z</dcterms:modified>
</cp:coreProperties>
</file>

<file path=docProps/custom.xml><?xml version="1.0" encoding="utf-8"?>
<Properties xmlns="http://schemas.openxmlformats.org/officeDocument/2006/custom-properties" xmlns:vt="http://schemas.openxmlformats.org/officeDocument/2006/docPropsVTypes"/>
</file>