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tulo"/>
      </w:pPr>
      <w:r>
        <w:rPr>
          <w:rFonts w:ascii="Calibri" w:cs="Calibri" w:eastAsia="Calibri" w:hAnsi="Calibri"/>
          <w:b w:val="false"/>
          <w:bCs w:val="false"/>
          <w:sz w:val="56"/>
          <w:szCs w:val="56"/>
        </w:rPr>
        <w:t xml:space="preserve">1.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478"/>
        <w:gridCol w:w="5528"/>
      </w:tblGrid>
      <w:tr>
        <w:trPr>
          <w:trHeight w:val="315"/>
        </w:trPr>
        <w:tc>
          <w:tcPr>
            <w:tcW w:type="dxa" w:w="2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720"/>
            <w:gridSpan w:val="2"/>
            <w:tcBorders>
              <w:top w:val="single" w:color="000000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CU-RF5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Luisa Fernanda Quintero Gutiérrez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Autenticación e integración institucional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Casos de uso relacionados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Autenticar usuario, Consultar datos académicos en Banner, Validar historial académico, Asignar rol a usuario, Integrar certificado con Workflow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usuario debe contar con credenciales institucionales válidas. Los servicios de Banner, SSO y Workflow deben estar disponibles.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EduMobility requiere autenticarse mediante servicios institucionales (SSO o Banner), utilizar el correo institucional como identificador y consumir información académica desde Banner. Además, debe integrarse con Workflow para permitir el reconocimiento de certificados como soporte válido dentro del flujo institucional.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Secuencia normal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usuario intenta ingresar al sistema EduMobility.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redirige automáticamente al servicio de autenticación institucional (SSO/Banner).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usuario ingresa sus credenciales institucionales.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valida la identidad del usuario mediante el servicio institucional.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consulta los datos del usuario en Banner vía API.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asigna automáticamente el rol correspondiente (Estudiante, Docente, etc.).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permite el acceso al usuario según su rol.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permite la integración con Workflow para el uso de certificados como soporte válido en procesos institucionales.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usuario queda autenticado en el sistema. El usuario tiene permisos asignados según su rol. El sistema queda listo para interactuar con Banner y Workflow.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Excepciones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las credenciales son incorrectas, el sistema muestra mensaje de error y solicita nuevamente el ingreso.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el servicio de autenticación institucional no está disponible, el sistema impide el acceso e informa el error.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la API de Banner no responde o falla, el sistema muestra un mensaje de error y no permite continuar.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ocurre un error en la asignación del rol, el sistema bloquea el acceso por seguridad.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falla la integración con Workflow, el sistema notifica el error y restringe el uso del certificado como soporte.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Comentarios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Este caso de uso es transversal a todo el sistema, ya que permite la autenticación institucional de los usuarios y la asignación de roles con permisos diferenciados. Además, incluye los requerimientos RF5.1 a RF5.4.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pPr>
      <w:spacing w:after="0" w:line="240" w:lineRule="auto"/>
    </w:pPr>
    <w:rPr>
      <w:rFonts w:ascii="Calibri Light" w:cs="Calibri Light" w:eastAsia="Calibri Light" w:hAnsi="Calibri Light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2026-05-25T04:26:38.254Z</dcterms:created>
  <dcterms:modified xsi:type="dcterms:W3CDTF">2026-05-25T04:26:38.254Z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