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Apalabrar — demo de Validation Gate 2.</w:t>
      </w:r>
    </w:p>
    <w:p w14:paraId="00000002">
      <w:pPr>
        <w:rPr/>
      </w:pPr>
    </w:p>
    <w:p w14:paraId="00000003">
      <w:pPr>
        <w:rPr/>
      </w:pPr>
      <w:r>
        <w:rPr/>
        <w:t xml:space="preserve">Este documento se genera con docx-rs sobre WASM y se proyecta a texto plano vía Loro CRDT.</w:t>
      </w:r>
    </w:p>
    <w:p w14:paraId="00000004">
      <w:pPr>
        <w:rPr/>
      </w:pPr>
    </w:p>
    <w:p w14:paraId="00000005">
      <w:pPr>
        <w:rPr/>
      </w:pPr>
      <w:r>
        <w:rPr/>
        <w:t xml:space="preserve">Ñoño, año, mañana, día, sí: los acentos LATAM se preservan a través de open_docx → apply_op → to_docx.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