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Discussion</w:t>
      </w:r>
    </w:p>
    <w:p>
      <w:pPr>
        <w:pStyle w:val="BodyText"/>
        <w:bidi w:val="0"/>
        <w:jc w:val="left"/>
        <w:rPr/>
      </w:pPr>
      <w:r>
        <w:rPr/>
        <w:t>As noted in the seminal review by Anderson and Vega:</w:t>
      </w:r>
    </w:p>
    <w:p>
      <w:pPr>
        <w:pStyle w:val="BlockQuotation"/>
        <w:bidi w:val="0"/>
        <w:jc w:val="left"/>
        <w:rPr/>
      </w:pPr>
      <w:r>
        <w:rPr/>
        <w:t>The reproducibility crisis is not a methodological failure of any single discipline; it is the predictable consequence of misaligned incentives across the entire scientific publishing apparatus.</w:t>
      </w:r>
    </w:p>
    <w:p>
      <w:pPr>
        <w:pStyle w:val="BodyText"/>
        <w:bidi w:val="0"/>
        <w:spacing w:before="0" w:after="140"/>
        <w:jc w:val="left"/>
        <w:rPr/>
      </w:pPr>
      <w:r>
        <w:rPr/>
        <w:t>Our results align with this position.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Block quote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