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>Methodology</w:t>
      </w:r>
    </w:p>
    <w:p>
      <w:pPr>
        <w:pStyle w:val="BodyText"/>
        <w:bidi w:val="0"/>
        <w:jc w:val="left"/>
        <w:rPr/>
      </w:pPr>
      <w:r>
        <w:rPr/>
        <w:t>The following procedures were applied in sequence: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Sample collection from sites A through D.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Centrifugation at 4000 rpm for 15 minutes.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Spectrophotometric analysis at 280 nm.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Statistical comparison via paired t-test. </w:t>
      </w:r>
    </w:p>
    <w:p>
      <w:pPr>
        <w:pStyle w:val="BodyText"/>
        <w:bidi w:val="0"/>
        <w:spacing w:before="0" w:after="140"/>
        <w:jc w:val="left"/>
        <w:rPr/>
      </w:pPr>
      <w:r>
        <w:rPr/>
        <w:t>All measurements were repeated three times.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Numbered list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