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The framework outlined by the authors</w:t>
      </w:r>
      <w:r>
        <w:rPr>
          <w:rStyle w:val="FootnoteReference"/>
        </w:rPr>
        <w:footnoteReference w:id="2"/>
      </w:r>
      <w:r>
        <w:rPr/>
        <w:t xml:space="preserve"> emphasises reproducibility above novelty.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 xml:space="preserve">See </w:t>
      </w:r>
      <w:r>
        <w:rPr>
          <w:i/>
        </w:rPr>
        <w:t>Foundations of Statistical Practice</w:t>
      </w:r>
      <w:r>
        <w:rPr/>
        <w:t>, chapter 4.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