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Demographic comparison</w:t>
      </w:r>
    </w:p>
    <w:tbl>
      <w:tblPr>
        <w:tblW w:w="4655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466"/>
        <w:gridCol w:w="1096"/>
        <w:gridCol w:w="1141"/>
        <w:gridCol w:w="1111"/>
      </w:tblGrid>
      <w:tr>
        <w:trPr>
          <w:tblHeader w:val="true"/>
        </w:trPr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Cohort</w:t>
            </w:r>
          </w:p>
        </w:tc>
        <w:tc>
          <w:tcPr>
            <w:tcW w:w="4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</w:t>
            </w:r>
          </w:p>
        </w:tc>
        <w:tc>
          <w:tcPr>
            <w:tcW w:w="109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 age</w:t>
            </w:r>
          </w:p>
        </w:tc>
        <w:tc>
          <w:tcPr>
            <w:tcW w:w="11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Female %</w:t>
            </w:r>
          </w:p>
        </w:tc>
        <w:tc>
          <w:tcPr>
            <w:tcW w:w="11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Urban %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2018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21.4</w:t>
            </w:r>
          </w:p>
        </w:tc>
        <w:tc>
          <w:tcPr>
            <w:tcW w:w="11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54.1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72.3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2019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438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21.7</w:t>
            </w:r>
          </w:p>
        </w:tc>
        <w:tc>
          <w:tcPr>
            <w:tcW w:w="11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52.8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74.5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2020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391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22.1</w:t>
            </w:r>
          </w:p>
        </w:tc>
        <w:tc>
          <w:tcPr>
            <w:tcW w:w="11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55.6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71.8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2021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456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21.9</w:t>
            </w:r>
          </w:p>
        </w:tc>
        <w:tc>
          <w:tcPr>
            <w:tcW w:w="11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53.4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76.1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2022</w:t>
            </w:r>
          </w:p>
        </w:tc>
        <w:tc>
          <w:tcPr>
            <w:tcW w:w="4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478</w:t>
            </w:r>
          </w:p>
        </w:tc>
        <w:tc>
          <w:tcPr>
            <w:tcW w:w="109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22.0</w:t>
            </w:r>
          </w:p>
        </w:tc>
        <w:tc>
          <w:tcPr>
            <w:tcW w:w="11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54.0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77.4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  <w:t>Sample sizes vary by year due to enrollment fluctuations.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Multi-row header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