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Abstract</w:t>
      </w:r>
    </w:p>
    <w:p>
      <w:pPr>
        <w:pStyle w:val="BodyText"/>
        <w:bidi w:val="0"/>
        <w:jc w:val="left"/>
        <w:rPr/>
      </w:pPr>
      <w:r>
        <w:rPr/>
        <w:t xml:space="preserve">This study examines </w:t>
      </w:r>
      <w:r>
        <w:rPr>
          <w:rStyle w:val="Emphasis"/>
        </w:rPr>
        <w:t>longitudinal</w:t>
      </w:r>
      <w:r>
        <w:rPr/>
        <w:t xml:space="preserve"> patterns in </w:t>
      </w:r>
      <w:r>
        <w:rPr>
          <w:rStyle w:val="Strong"/>
        </w:rPr>
        <w:t>cohort retention</w:t>
      </w:r>
      <w:r>
        <w:rPr/>
        <w:t xml:space="preserve"> across four institutions. We find that </w:t>
      </w:r>
      <w:r>
        <w:rPr>
          <w:rStyle w:val="Emphasis"/>
        </w:rPr>
        <w:t>both</w:t>
      </w:r>
      <w:r>
        <w:rPr/>
        <w:t xml:space="preserve"> </w:t>
      </w:r>
      <w:r>
        <w:rPr>
          <w:rStyle w:val="Strong"/>
        </w:rPr>
        <w:t>structural</w:t>
      </w:r>
      <w:r>
        <w:rPr/>
        <w:t xml:space="preserve"> and </w:t>
      </w:r>
      <w:r>
        <w:rPr>
          <w:rStyle w:val="Strong"/>
        </w:rPr>
        <w:t>cultural</w:t>
      </w:r>
      <w:r>
        <w:rPr/>
        <w:t xml:space="preserve"> factors predict outcomes.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Keywords: </w:t>
      </w:r>
      <w:r>
        <w:rPr>
          <w:rStyle w:val="Emphasis"/>
        </w:rPr>
        <w:t>retention</w:t>
      </w:r>
      <w:r>
        <w:rPr/>
        <w:t xml:space="preserve">, </w:t>
      </w:r>
      <w:r>
        <w:rPr>
          <w:rStyle w:val="Emphasis"/>
        </w:rPr>
        <w:t>cohorts</w:t>
      </w:r>
      <w:r>
        <w:rPr/>
        <w:t xml:space="preserve">, </w:t>
      </w:r>
      <w:r>
        <w:rPr>
          <w:rStyle w:val="Strong"/>
        </w:rPr>
        <w:t>higher education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Mixed emphasis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