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>The Reynolds number Re = ρvL/μ characterises the flow regime. Below Re ≈ 2300 the flow is laminar; above Re ≈ 4000 it becomes turbulent. The transitional regime spans roughly 2300 ≤ Re ≤ 4000.</w:t>
      </w:r>
    </w:p>
    <w:p>
      <w:pPr>
        <w:pStyle w:val="BodyText"/>
        <w:bidi w:val="0"/>
        <w:jc w:val="left"/>
        <w:rPr/>
      </w:pPr>
      <w:r>
        <w:rPr/>
        <w:t>Energy balance gives ΔE = Q − W, where Q is heat added and W is work done by the system.</w:t>
      </w:r>
    </w:p>
    <w:p>
      <w:pPr>
        <w:pStyle w:val="BodyText"/>
        <w:bidi w:val="0"/>
        <w:spacing w:before="0" w:after="140"/>
        <w:jc w:val="left"/>
        <w:rPr/>
      </w:pPr>
      <w:r>
        <w:rPr/>
        <w:t>The wave equation ∂²u/∂t² = c² ∇²u admits solutions of the form u(x, t) = f(x − ct) + g(x + ct).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Equations mixed with text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