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  <w:t>The first observation</w:t>
      </w:r>
      <w:r>
        <w:rPr>
          <w:rStyle w:val="FootnoteReference"/>
        </w:rPr>
        <w:footnoteReference w:id="2"/>
      </w:r>
      <w:r>
        <w:rPr/>
        <w:t xml:space="preserve"> highlighted unexpected variation. The second</w:t>
      </w:r>
      <w:r>
        <w:rPr>
          <w:rStyle w:val="FootnoteReference"/>
        </w:rPr>
        <w:footnoteReference w:id="3"/>
      </w:r>
      <w:r>
        <w:rPr/>
        <w:t xml:space="preserve"> independent dataset corroborated the pattern. A third dataset</w:t>
      </w:r>
      <w:r>
        <w:rPr>
          <w:rStyle w:val="FootnoteReference"/>
        </w:rPr>
        <w:footnoteReference w:id="4"/>
      </w:r>
      <w:r>
        <w:rPr/>
        <w:t xml:space="preserve"> served as a held-out validation set.</w:t>
      </w:r>
    </w:p>
    <w:p>
      <w:pPr>
        <w:pStyle w:val="Normal"/>
        <w:bidi w:val="0"/>
        <w:jc w:val="left"/>
        <w:rPr/>
      </w:pPr>
      <w:r>
        <w:rPr/>
        <w:t>The pooled analysis yielded a robust effect size.</w:t>
      </w:r>
    </w:p>
    <w:sectPr>
      <w:footnotePr>
        <w:numFmt w:val="decimal"/>
      </w:footnote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pPr>
        <w:rPr>
          <w:sz w:val="12"/>
        </w:rPr>
      </w:pPr>
      <w:r>
        <w:separator/>
      </w:r>
    </w:p>
  </w:footnote>
  <w:footnote w:id="1" w:type="continuationSeparator">
    <w:p>
      <w:pPr>
        <w:rPr>
          <w:sz w:val="12"/>
        </w:rPr>
      </w:pPr>
      <w:r>
        <w:continuationSeparator/>
      </w:r>
    </w:p>
  </w:footnote>
  <w:footnote w:id="2">
    <w:p>
      <w:pPr>
        <w:pStyle w:val="FootnoteText"/>
        <w:suppressLineNumbers/>
        <w:bidi w:val="0"/>
        <w:ind w:hanging="340" w:left="340"/>
        <w:jc w:val="left"/>
        <w:rPr/>
      </w:pPr>
      <w:r>
        <w:rPr>
          <w:rStyle w:val="FootnoteCharacters"/>
        </w:rPr>
        <w:footnoteRef/>
      </w:r>
      <w:r>
        <w:rPr/>
        <w:tab/>
        <w:t>Original sample collected in 2019.</w:t>
      </w:r>
    </w:p>
  </w:footnote>
  <w:footnote w:id="3">
    <w:p>
      <w:pPr>
        <w:pStyle w:val="FootnoteText"/>
        <w:suppressLineNumbers/>
        <w:bidi w:val="0"/>
        <w:ind w:hanging="340" w:left="340"/>
        <w:jc w:val="left"/>
        <w:rPr/>
      </w:pPr>
      <w:r>
        <w:rPr>
          <w:rStyle w:val="FootnoteCharacters"/>
        </w:rPr>
        <w:footnoteRef/>
      </w:r>
      <w:r>
        <w:rPr/>
        <w:tab/>
        <w:t>Confirmed across three replicates.</w:t>
      </w:r>
    </w:p>
  </w:footnote>
  <w:footnote w:id="4">
    <w:p>
      <w:pPr>
        <w:pStyle w:val="FootnoteText"/>
        <w:suppressLineNumbers/>
        <w:bidi w:val="0"/>
        <w:ind w:hanging="340" w:left="340"/>
        <w:jc w:val="left"/>
        <w:rPr/>
      </w:pPr>
      <w:r>
        <w:rPr>
          <w:rStyle w:val="FootnoteCharacters"/>
        </w:rPr>
        <w:footnoteRef/>
      </w:r>
      <w:r>
        <w:rPr/>
        <w:tab/>
        <w:t>Held out for cross-validation only.</w:t>
      </w:r>
    </w:p>
  </w:footnote>
</w:footnotes>
</file>

<file path=word/settings.xml><?xml version="1.0" encoding="utf-8"?>
<w:settings xmlns:w="http://schemas.openxmlformats.org/wordprocessingml/2006/main">
  <w:zoom w:percent="100"/>
  <w:defaultTabStop w:val="709"/>
  <w:autoHyphenation w:val="true"/>
  <w:footnotePr>
    <w:numFmt w:val="decimal"/>
    <w:footnote w:id="0"/>
    <w:footnote w:id="1"/>
  </w:footnotePr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character" w:styleId="FootnoteCharacters">
    <w:name w:val="Footnote Characters"/>
    <w:qFormat/>
    <w:rPr/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Characters">
    <w:name w:val="Endnote Character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FootnoteText">
    <w:name w:val="Footnote Text"/>
    <w:basedOn w:val="Normal"/>
    <w:pPr>
      <w:suppressLineNumbers/>
      <w:ind w:hanging="340" w:left="34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notes" Target="footnot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