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8"/>
          <w:szCs w:val="48"/>
        </w:rPr>
        <w:t xml:space="preserve">INFORME DE MÉTRICAS</w:t>
      </w:r>
    </w:p>
    <w:p>
      <w:pPr>
        <w:spacing w:after="300" w:before="0"/>
        <w:jc w:val="center"/>
      </w:pPr>
      <w:r>
        <w:rPr>
          <w:rFonts w:ascii="Calibri" w:cs="Calibri" w:eastAsia="Calibri" w:hAnsi="Calibri"/>
          <w:sz w:val="32"/>
          <w:szCs w:val="32"/>
        </w:rPr>
        <w:t xml:space="preserve">Diseño Sostenible y Principios SOLID</w:t>
      </w:r>
    </w:p>
    <w:p>
      <w:pPr>
        <w:spacing w:after="900" w:before="0"/>
        <w:jc w:val="center"/>
      </w:pPr>
      <w:r>
        <w:rPr>
          <w:rFonts w:ascii="Calibri" w:cs="Calibri" w:eastAsia="Calibri" w:hAnsi="Calibri"/>
          <w:sz w:val="26"/>
          <w:szCs w:val="26"/>
        </w:rPr>
        <w:t xml:space="preserve">Caso: DentaCare — Sistema legado de citas odontológicas (C#)</w:t>
      </w:r>
    </w:p>
    <w:p>
      <w:pPr>
        <w:spacing w:after="120" w:before="0"/>
        <w:jc w:val="center"/>
      </w:pPr>
      <w:r>
        <w:rPr>
          <w:rFonts w:ascii="Calibri" w:cs="Calibri" w:eastAsia="Calibri" w:hAnsi="Calibri"/>
          <w:b/>
          <w:bCs/>
          <w:sz w:val="28"/>
          <w:szCs w:val="28"/>
        </w:rPr>
        <w:t xml:space="preserve">Arquitectura de Software I</w:t>
      </w:r>
    </w:p>
    <w:p>
      <w:pPr>
        <w:spacing w:after="900" w:before="0"/>
        <w:jc w:val="center"/>
      </w:pPr>
      <w:r>
        <w:rPr>
          <w:rFonts w:ascii="Calibri" w:cs="Calibri" w:eastAsia="Calibri" w:hAnsi="Calibri"/>
          <w:sz w:val="28"/>
          <w:szCs w:val="28"/>
        </w:rPr>
        <w:t xml:space="preserve">Entregable 1</w:t>
      </w:r>
    </w:p>
    <w:p>
      <w:pPr>
        <w:spacing w:after="120" w:before="0"/>
        <w:jc w:val="center"/>
      </w:pPr>
      <w:r>
        <w:rPr>
          <w:rFonts w:ascii="Calibri" w:cs="Calibri" w:eastAsia="Calibri" w:hAnsi="Calibri"/>
          <w:sz w:val="26"/>
          <w:szCs w:val="26"/>
        </w:rPr>
        <w:t xml:space="preserve">Juan José Medina Sepúlveda</w:t>
      </w:r>
    </w:p>
    <w:p>
      <w:pPr>
        <w:spacing w:after="700" w:before="0"/>
        <w:jc w:val="center"/>
      </w:pPr>
      <w:r>
        <w:rPr>
          <w:rFonts w:ascii="Calibri" w:cs="Calibri" w:eastAsia="Calibri" w:hAnsi="Calibri"/>
          <w:sz w:val="26"/>
          <w:szCs w:val="26"/>
        </w:rPr>
        <w:t xml:space="preserve">Manuel Alejandro Domínguez Guerrero</w:t>
      </w:r>
    </w:p>
    <w:p>
      <w:pPr>
        <w:spacing w:after="120" w:before="0"/>
        <w:jc w:val="center"/>
      </w:pPr>
      <w:r>
        <w:rPr>
          <w:rFonts w:ascii="Calibri" w:cs="Calibri" w:eastAsia="Calibri" w:hAnsi="Calibri"/>
          <w:sz w:val="26"/>
          <w:szCs w:val="26"/>
        </w:rPr>
        <w:t xml:space="preserve">Institución Universitaria ITM</w:t>
      </w:r>
    </w:p>
    <w:p>
      <w:pPr>
        <w:spacing w:after="120" w:before="0"/>
        <w:jc w:val="center"/>
      </w:pPr>
      <w:r>
        <w:rPr>
          <w:rFonts w:ascii="Calibri" w:cs="Calibri" w:eastAsia="Calibri" w:hAnsi="Calibri"/>
          <w:sz w:val="26"/>
          <w:szCs w:val="26"/>
        </w:rPr>
        <w:t xml:space="preserve">Medellín, Antioquia</w:t>
      </w:r>
    </w:p>
    <w:p>
      <w:pPr>
        <w:spacing w:after="120" w:before="0"/>
        <w:jc w:val="center"/>
      </w:pPr>
      <w:r>
        <w:rPr>
          <w:rFonts w:ascii="Calibri" w:cs="Calibri" w:eastAsia="Calibri" w:hAnsi="Calibri"/>
          <w:sz w:val="26"/>
          <w:szCs w:val="26"/>
        </w:rPr>
        <w:t xml:space="preserve">07/10/2026</w:t>
      </w:r>
    </w:p>
    <w:p>
      <w:r>
        <w:br w:type="page"/>
      </w:r>
    </w:p>
    <w:p>
      <w:pPr>
        <w:pStyle w:val="Heading1"/>
        <w:keepNext/>
        <w:spacing w:after="160" w:before="360"/>
      </w:pPr>
      <w:r>
        <w:rPr>
          <w:rFonts w:ascii="Calibri" w:cs="Calibri" w:eastAsia="Calibri" w:hAnsi="Calibri"/>
          <w:b/>
          <w:bCs/>
          <w:color w:val="1F3864"/>
          <w:sz w:val="30"/>
          <w:szCs w:val="30"/>
        </w:rPr>
        <w:t xml:space="preserve">1. Introducción y alcance</w:t>
      </w:r>
    </w:p>
    <w:p>
      <w:pPr>
        <w:spacing w:after="120" w:line="276"/>
      </w:pPr>
      <w:r>
        <w:rPr>
          <w:rFonts w:ascii="Calibri" w:cs="Calibri" w:eastAsia="Calibri" w:hAnsi="Calibri"/>
        </w:rPr>
        <w:t xml:space="preserve">Este informe presenta el diagnóstico cuantitativo y cualitativo del sistema legado </w:t>
      </w:r>
      <w:r>
        <w:rPr>
          <w:rFonts w:ascii="Calibri" w:cs="Calibri" w:eastAsia="Calibri" w:hAnsi="Calibri"/>
          <w:b/>
          <w:bCs/>
        </w:rPr>
        <w:t xml:space="preserve">DentaCare.Legacy</w:t>
      </w:r>
      <w:r>
        <w:rPr>
          <w:rFonts w:ascii="Calibri" w:cs="Calibri" w:eastAsia="Calibri" w:hAnsi="Calibri"/>
        </w:rPr>
        <w:t xml:space="preserve">, una solución en C# que gestiona las citas de una clínica odontológica, y la refactorización realizada en </w:t>
      </w:r>
      <w:r>
        <w:rPr>
          <w:rFonts w:ascii="Calibri" w:cs="Calibri" w:eastAsia="Calibri" w:hAnsi="Calibri"/>
          <w:b/>
          <w:bCs/>
        </w:rPr>
        <w:t xml:space="preserve">DentalCare.Refactored</w:t>
      </w:r>
      <w:r>
        <w:rPr>
          <w:rFonts w:ascii="Calibri" w:cs="Calibri" w:eastAsia="Calibri" w:hAnsi="Calibri"/>
        </w:rPr>
        <w:t xml:space="preserve">. Reúne las violaciones de los principios SOLID, la línea base de métricas de cohesión y acoplamiento, el diseño de la nueva solución y la comparación cuantitativa antes y después de la intervención. Los registros de decisiones de arquitectura (ADRs) se entregan en </w:t>
      </w:r>
      <w:r>
        <w:rPr>
          <w:rFonts w:ascii="Consolas" w:cs="Consolas" w:eastAsia="Consolas" w:hAnsi="Consolas"/>
          <w:sz w:val="20"/>
          <w:szCs w:val="20"/>
        </w:rPr>
        <w:t xml:space="preserve">docs/adr/</w:t>
      </w:r>
      <w:r>
        <w:rPr>
          <w:rFonts w:ascii="Calibri" w:cs="Calibri" w:eastAsia="Calibri" w:hAnsi="Calibri"/>
        </w:rPr>
        <w:t xml:space="preserve"> y se resumen en la sección 9.</w:t>
      </w:r>
    </w:p>
    <w:p>
      <w:pPr>
        <w:spacing w:after="120" w:line="276"/>
      </w:pPr>
      <w:r>
        <w:rPr>
          <w:rFonts w:ascii="Calibri" w:cs="Calibri" w:eastAsia="Calibri" w:hAnsi="Calibri"/>
        </w:rPr>
        <w:t xml:space="preserve">El trabajo es de </w:t>
      </w:r>
      <w:r>
        <w:rPr>
          <w:rFonts w:ascii="Calibri" w:cs="Calibri" w:eastAsia="Calibri" w:hAnsi="Calibri"/>
          <w:b/>
          <w:bCs/>
        </w:rPr>
        <w:t xml:space="preserve">arquitectura de software</w:t>
      </w:r>
      <w:r>
        <w:rPr>
          <w:rFonts w:ascii="Calibri" w:cs="Calibri" w:eastAsia="Calibri" w:hAnsi="Calibri"/>
        </w:rPr>
        <w:t xml:space="preserve">. El código suministrado no tiene funcionalidad real: la base de datos, el servidor SMTP y Twilio están simulados, y el proyecto sirve como estructura para analizar responsabilidades, dependencias y decisiones de diseño.</w:t>
      </w:r>
    </w:p>
    <w:p>
      <w:pPr>
        <w:pStyle w:val="Heading2"/>
        <w:keepNext/>
        <w:spacing w:after="120" w:before="240"/>
      </w:pPr>
      <w:r>
        <w:rPr>
          <w:rFonts w:ascii="Calibri" w:cs="Calibri" w:eastAsia="Calibri" w:hAnsi="Calibri"/>
          <w:b/>
          <w:bCs/>
          <w:color w:val="1F3864"/>
          <w:sz w:val="25"/>
          <w:szCs w:val="25"/>
        </w:rPr>
        <w:t xml:space="preserve">1.1. Organización del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Fase de la práctica</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Sección</w:t>
            </w:r>
          </w:p>
        </w:tc>
        <w:tc>
          <w:tcPr>
            <w:tcW w:type="dxa" w:w="54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Contenido</w:t>
            </w:r>
          </w:p>
        </w:tc>
      </w:tr>
      <w:tr>
        <w:trPr>
          <w:cantSplit/>
        </w:trPr>
        <w:tc>
          <w:tcPr>
            <w:tcW w:type="dxa" w:w="30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Fase 1 — Matriz de violaciones SOLID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4 y 5</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Violaciones de SRP, OCP, LSP, ISP y DIP con evidencia por archivo y línea, más hallazgos adicionales.</w:t>
            </w:r>
          </w:p>
        </w:tc>
      </w:tr>
      <w:tr>
        <w:trPr>
          <w:cantSplit/>
        </w:trPr>
        <w:tc>
          <w:tcPr>
            <w:tcW w:type="dxa" w:w="30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Fase 1 — Línea base cuantitativa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6</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LCOM96b, Ca, Ce, I, A, D, Zona de Dolor y complejidad ciclomática del legado.</w:t>
            </w:r>
          </w:p>
        </w:tc>
      </w:tr>
      <w:tr>
        <w:trPr>
          <w:cantSplit/>
        </w:trPr>
        <w:tc>
          <w:tcPr>
            <w:tcW w:type="dxa" w:w="30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Fase 2 — Refactorización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7</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Estructura de la solución, trazabilidad con el legado, solución por principio y verificación funcional.</w:t>
            </w:r>
          </w:p>
        </w:tc>
      </w:tr>
      <w:tr>
        <w:trPr>
          <w:cantSplit/>
        </w:trPr>
        <w:tc>
          <w:tcPr>
            <w:tcW w:type="dxa" w:w="30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Fase 3 — Recálculo de métricas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8</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Métricas por clase y por paquete, tabla comparativa y efecto en los atributos de calidad.</w:t>
            </w:r>
          </w:p>
        </w:tc>
      </w:tr>
      <w:tr>
        <w:trPr>
          <w:cantSplit/>
        </w:trPr>
        <w:tc>
          <w:tcPr>
            <w:tcW w:type="dxa" w:w="30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Fase 4 — ADRs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9</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ADR-001 y ADR-002, ubicados en </w:t>
            </w:r>
            <w:r>
              <w:rPr>
                <w:rFonts w:ascii="Consolas" w:cs="Consolas" w:eastAsia="Consolas" w:hAnsi="Consolas"/>
                <w:sz w:val="17"/>
                <w:szCs w:val="17"/>
              </w:rPr>
              <w:t xml:space="preserve">docs/adr/</w:t>
            </w:r>
            <w:r>
              <w:rPr>
                <w:rFonts w:ascii="Calibri" w:cs="Calibri" w:eastAsia="Calibri" w:hAnsi="Calibri"/>
                <w:b w:val="false"/>
                <w:bCs w:val="false"/>
                <w:sz w:val="19"/>
                <w:szCs w:val="19"/>
              </w:rPr>
              <w:t xml:space="preserve">.</w:t>
            </w:r>
          </w:p>
        </w:tc>
      </w:tr>
    </w:tbl>
    <w:p>
      <w:pPr>
        <w:pStyle w:val="Heading2"/>
        <w:keepNext/>
        <w:spacing w:after="120" w:before="240"/>
      </w:pPr>
      <w:r>
        <w:rPr>
          <w:rFonts w:ascii="Calibri" w:cs="Calibri" w:eastAsia="Calibri" w:hAnsi="Calibri"/>
          <w:b/>
          <w:bCs/>
          <w:color w:val="1F3864"/>
          <w:sz w:val="25"/>
          <w:szCs w:val="25"/>
        </w:rPr>
        <w:t xml:space="preserve">1.2. Convenciones</w:t>
      </w:r>
    </w:p>
    <w:p>
      <w:pPr>
        <w:spacing w:after="120" w:line="276"/>
      </w:pPr>
      <w:r>
        <w:rPr>
          <w:rFonts w:ascii="Calibri" w:cs="Calibri" w:eastAsia="Calibri" w:hAnsi="Calibri"/>
        </w:rPr>
        <w:t xml:space="preserve">Las líneas de código se citan como </w:t>
      </w:r>
      <w:r>
        <w:rPr>
          <w:rFonts w:ascii="Consolas" w:cs="Consolas" w:eastAsia="Consolas" w:hAnsi="Consolas"/>
          <w:sz w:val="20"/>
          <w:szCs w:val="20"/>
        </w:rPr>
        <w:t xml:space="preserve">Archivo.cs, L.n</w:t>
      </w:r>
      <w:r>
        <w:rPr>
          <w:rFonts w:ascii="Calibri" w:cs="Calibri" w:eastAsia="Calibri" w:hAnsi="Calibri"/>
        </w:rPr>
        <w:t xml:space="preserve">, contando desde la primera línea de cada archivo; la directiva </w:t>
      </w:r>
      <w:r>
        <w:rPr>
          <w:rFonts w:ascii="Consolas" w:cs="Consolas" w:eastAsia="Consolas" w:hAnsi="Consolas"/>
          <w:sz w:val="20"/>
          <w:szCs w:val="20"/>
        </w:rPr>
        <w:t xml:space="preserve">using</w:t>
      </w:r>
      <w:r>
        <w:rPr>
          <w:rFonts w:ascii="Calibri" w:cs="Calibri" w:eastAsia="Calibri" w:hAnsi="Calibri"/>
        </w:rPr>
        <w:t xml:space="preserve"> inicial es la L.1. Las métricas se calcularon de forma manual sobre el código fuente, con las definiciones del material de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Métrica</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Fórmula</w:t>
            </w:r>
          </w:p>
        </w:tc>
        <w:tc>
          <w:tcPr>
            <w:tcW w:type="dxa" w:w="47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Lectura</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LCOM96b</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LCOM96b = (1 / a) × Σ [ (m − μ(Aj)) / m ]</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0,0 es cohesión perfecta; 1,0 es ausencia de cohesión. a: atributos de instancia; m: métodos; μ(Aj): métodos que usan el atributo Aj.</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Inestabilidad</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 = Ce / (Ce + Ca)</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0,0 es máxima estabilidad (Ca &gt; 0, Ce = 0); 1,0 es máxima inestabilidad (Ca = 0, Ce &gt; 0).</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Abstracción</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A = Σ m_a / Σ m_c</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Proporción de elementos abstractos (interfaces y clases abstractas) frente a los concretos. 0,0 es un módulo totalmente concreto; 1,0 uno totalmente abstracto.</w:t>
            </w:r>
          </w:p>
        </w:tc>
      </w:tr>
      <w:tr>
        <w:trPr>
          <w:cantSplit/>
        </w:trPr>
        <w:tc>
          <w:tcPr>
            <w:tcW w:type="dxa" w:w="15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Distancia</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 = |A + I − 1|</w:t>
            </w:r>
          </w:p>
        </w:tc>
        <w:tc>
          <w:tcPr>
            <w:tcW w:type="dxa" w:w="4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Separación respecto de la Secuencia Principal. Cuanto más cerca de 0, más equilibrada es la relación entre abstracción e inestabilidad.</w:t>
            </w:r>
          </w:p>
        </w:tc>
      </w:tr>
    </w:tbl>
    <w:p>
      <w:pPr>
        <w:spacing w:after="120"/>
      </w:pPr>
    </w:p>
    <w:p>
      <w:pPr>
        <w:spacing w:after="120" w:line="276"/>
      </w:pPr>
      <w:r>
        <w:rPr>
          <w:rFonts w:ascii="Calibri" w:cs="Calibri" w:eastAsia="Calibri" w:hAnsi="Calibri"/>
        </w:rPr>
        <w:t xml:space="preserve">Para D se usa el valor absoluto de A + I − 1, tal como se presenta en el material de clase. La guía de la práctica escribe la expresión como |A + I| − 1, que produce valores negativos siempre que A + I &lt; 1 y por eso no puede interpretarse como distancia.</w:t>
      </w:r>
    </w:p>
    <w:p>
      <w:pPr>
        <w:pStyle w:val="Heading1"/>
        <w:keepNext/>
        <w:spacing w:after="160" w:before="360"/>
      </w:pPr>
      <w:r>
        <w:rPr>
          <w:rFonts w:ascii="Calibri" w:cs="Calibri" w:eastAsia="Calibri" w:hAnsi="Calibri"/>
          <w:b/>
          <w:bCs/>
          <w:color w:val="1F3864"/>
          <w:sz w:val="30"/>
          <w:szCs w:val="30"/>
        </w:rPr>
        <w:t xml:space="preserve">2. Descripción del sistema legado</w:t>
      </w:r>
    </w:p>
    <w:p>
      <w:pPr>
        <w:spacing w:after="120" w:line="276"/>
      </w:pPr>
      <w:r>
        <w:rPr>
          <w:rFonts w:ascii="Calibri" w:cs="Calibri" w:eastAsia="Calibri" w:hAnsi="Calibri"/>
        </w:rPr>
        <w:t xml:space="preserve">La solución DentaCare.Legacy está compuesta por siete archivos. La lógica de negocio y la orquestación se concentran en una sola clase, </w:t>
      </w:r>
      <w:r>
        <w:rPr>
          <w:rFonts w:ascii="Consolas" w:cs="Consolas" w:eastAsia="Consolas" w:hAnsi="Consolas"/>
          <w:sz w:val="20"/>
          <w:szCs w:val="20"/>
        </w:rPr>
        <w:t xml:space="preserve">GestorCitasOdontologicas</w:t>
      </w:r>
      <w:r>
        <w:rPr>
          <w:rFonts w:ascii="Calibri" w:cs="Calibri" w:eastAsia="Calibri" w:hAnsi="Calibri"/>
        </w:rPr>
        <w:t xml:space="preserve">, que instancia directamente sus dependencias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560"/>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Archivo</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Tipo</w:t>
            </w:r>
          </w:p>
        </w:tc>
        <w:tc>
          <w:tcPr>
            <w:tcW w:type="dxa" w:w="4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Rol</w:t>
            </w:r>
          </w:p>
        </w:tc>
      </w:tr>
      <w:tr>
        <w:trPr>
          <w:cantSplit/>
        </w:trPr>
        <w:tc>
          <w:tcPr>
            <w:tcW w:type="dxa" w:w="27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Program.cs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Punto de entrada</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Crea el gestor con </w:t>
            </w:r>
            <w:r>
              <w:rPr>
                <w:rFonts w:ascii="Consolas" w:cs="Consolas" w:eastAsia="Consolas" w:hAnsi="Consolas"/>
                <w:sz w:val="17"/>
                <w:szCs w:val="17"/>
              </w:rPr>
              <w:t xml:space="preserve">new</w:t>
            </w:r>
            <w:r>
              <w:rPr>
                <w:rFonts w:ascii="Calibri" w:cs="Calibri" w:eastAsia="Calibri" w:hAnsi="Calibri"/>
                <w:b w:val="false"/>
                <w:bCs w:val="false"/>
                <w:sz w:val="19"/>
                <w:szCs w:val="19"/>
              </w:rPr>
              <w:t xml:space="preserve"> y ejecuta tres flujos: agendar, cancelar y reportar totales.</w:t>
            </w:r>
          </w:p>
        </w:tc>
      </w:tr>
      <w:tr>
        <w:trPr>
          <w:cantSplit/>
        </w:trPr>
        <w:tc>
          <w:tcPr>
            <w:tcW w:type="dxa" w:w="27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GestorCitasOdontologicas.cs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Clase de servicio (God Class)</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Disponibilidad, tarifas, creación de la cita, persistencia, notificación, cancelación y totales en memoria.</w:t>
            </w:r>
          </w:p>
        </w:tc>
      </w:tr>
      <w:tr>
        <w:trPr>
          <w:cantSplit/>
        </w:trPr>
        <w:tc>
          <w:tcPr>
            <w:tcW w:type="dxa" w:w="27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SqlServerEjecutor.cs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Infraestructura</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Persistencia en SQL Server con </w:t>
            </w:r>
            <w:r>
              <w:rPr>
                <w:rFonts w:ascii="Consolas" w:cs="Consolas" w:eastAsia="Consolas" w:hAnsi="Consolas"/>
                <w:sz w:val="17"/>
                <w:szCs w:val="17"/>
              </w:rPr>
              <w:t xml:space="preserve">SqlCommand</w:t>
            </w:r>
            <w:r>
              <w:rPr>
                <w:rFonts w:ascii="Calibri" w:cs="Calibri" w:eastAsia="Calibri" w:hAnsi="Calibri"/>
                <w:b w:val="false"/>
                <w:bCs w:val="false"/>
                <w:sz w:val="19"/>
                <w:szCs w:val="19"/>
              </w:rPr>
              <w:t xml:space="preserve"> embebido y cadena de conexión con credenciales.</w:t>
            </w:r>
          </w:p>
        </w:tc>
      </w:tr>
      <w:tr>
        <w:trPr>
          <w:cantSplit/>
        </w:trPr>
        <w:tc>
          <w:tcPr>
            <w:tcW w:type="dxa" w:w="27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NotificacionServicio.cs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Infraestructura</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Envío de correo (SMTP) y SMS (Twilio simulado) en un único método.</w:t>
            </w:r>
          </w:p>
        </w:tc>
      </w:tr>
      <w:tr>
        <w:trPr>
          <w:cantSplit/>
        </w:trPr>
        <w:tc>
          <w:tcPr>
            <w:tcW w:type="dxa" w:w="27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Cita.cs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Entidad</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Datos de la cita y </w:t>
            </w:r>
            <w:r>
              <w:rPr>
                <w:rFonts w:ascii="Consolas" w:cs="Consolas" w:eastAsia="Consolas" w:hAnsi="Consolas"/>
                <w:sz w:val="17"/>
                <w:szCs w:val="17"/>
              </w:rPr>
              <w:t xml:space="preserve">GenerarTextoConfirmacion()</w:t>
            </w:r>
            <w:r>
              <w:rPr>
                <w:rFonts w:ascii="Calibri" w:cs="Calibri" w:eastAsia="Calibri" w:hAnsi="Calibri"/>
                <w:b w:val="false"/>
                <w:bCs w:val="false"/>
                <w:sz w:val="19"/>
                <w:szCs w:val="19"/>
              </w:rPr>
              <w:t xml:space="preserve">.</w:t>
            </w:r>
          </w:p>
        </w:tc>
      </w:tr>
      <w:tr>
        <w:trPr>
          <w:cantSplit/>
        </w:trPr>
        <w:tc>
          <w:tcPr>
            <w:tcW w:type="dxa" w:w="27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Paciente.cs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Entidad</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Datos del paciente; </w:t>
            </w:r>
            <w:r>
              <w:rPr>
                <w:rFonts w:ascii="Consolas" w:cs="Consolas" w:eastAsia="Consolas" w:hAnsi="Consolas"/>
                <w:sz w:val="17"/>
                <w:szCs w:val="17"/>
              </w:rPr>
              <w:t xml:space="preserve">TipoConvenio</w:t>
            </w:r>
            <w:r>
              <w:rPr>
                <w:rFonts w:ascii="Calibri" w:cs="Calibri" w:eastAsia="Calibri" w:hAnsi="Calibri"/>
                <w:b w:val="false"/>
                <w:bCs w:val="false"/>
                <w:sz w:val="19"/>
                <w:szCs w:val="19"/>
              </w:rPr>
              <w:t xml:space="preserve"> codificado como entero.</w:t>
            </w:r>
          </w:p>
        </w:tc>
      </w:tr>
      <w:tr>
        <w:trPr>
          <w:cantSplit/>
        </w:trPr>
        <w:tc>
          <w:tcPr>
            <w:tcW w:type="dxa" w:w="27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Odontologo.cs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Entidad</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Datos del odontólogo; </w:t>
            </w:r>
            <w:r>
              <w:rPr>
                <w:rFonts w:ascii="Consolas" w:cs="Consolas" w:eastAsia="Consolas" w:hAnsi="Consolas"/>
                <w:sz w:val="17"/>
                <w:szCs w:val="17"/>
              </w:rPr>
              <w:t xml:space="preserve">EspecialidadId</w:t>
            </w:r>
            <w:r>
              <w:rPr>
                <w:rFonts w:ascii="Calibri" w:cs="Calibri" w:eastAsia="Calibri" w:hAnsi="Calibri"/>
                <w:b w:val="false"/>
                <w:bCs w:val="false"/>
                <w:sz w:val="19"/>
                <w:szCs w:val="19"/>
              </w:rPr>
              <w:t xml:space="preserve"> codificado como entero.</w:t>
            </w:r>
          </w:p>
        </w:tc>
      </w:tr>
    </w:tbl>
    <w:p>
      <w:pPr>
        <w:pStyle w:val="Heading2"/>
        <w:keepNext/>
        <w:spacing w:after="120" w:before="240"/>
      </w:pPr>
      <w:r>
        <w:rPr>
          <w:rFonts w:ascii="Calibri" w:cs="Calibri" w:eastAsia="Calibri" w:hAnsi="Calibri"/>
          <w:b/>
          <w:bCs/>
          <w:color w:val="1F3864"/>
          <w:sz w:val="25"/>
          <w:szCs w:val="25"/>
        </w:rPr>
        <w:t xml:space="preserve">2.1. Responsabilidades acumuladas en GestorCitasOdontologicas</w:t>
      </w:r>
    </w:p>
    <w:p>
      <w:pPr>
        <w:shd w:fill="F2F2F2" w:color="auto" w:val="clear"/>
        <w:spacing w:after="0" w:line="252"/>
        <w:ind w:left="120" w:right="120"/>
      </w:pPr>
      <w:r>
        <w:rPr>
          <w:rFonts w:ascii="Consolas" w:cs="Consolas" w:eastAsia="Consolas" w:hAnsi="Consolas"/>
          <w:sz w:val="18"/>
          <w:szCs w:val="18"/>
        </w:rPr>
        <w:t xml:space="preserve">GestorCitasOdontologicas</w:t>
      </w:r>
    </w:p>
    <w:p>
      <w:pPr>
        <w:shd w:fill="F2F2F2" w:color="auto" w:val="clear"/>
        <w:spacing w:after="0" w:line="252"/>
        <w:ind w:left="120" w:right="120"/>
      </w:pPr>
      <w:r>
        <w:rPr>
          <w:rFonts w:ascii="Consolas" w:cs="Consolas" w:eastAsia="Consolas" w:hAnsi="Consolas"/>
          <w:sz w:val="18"/>
          <w:szCs w:val="18"/>
        </w:rPr>
        <w:t xml:space="preserve">├── Validación de disponibilidad del odontólogo (L.14–17)</w:t>
      </w:r>
    </w:p>
    <w:p>
      <w:pPr>
        <w:shd w:fill="F2F2F2" w:color="auto" w:val="clear"/>
        <w:spacing w:after="0" w:line="252"/>
        <w:ind w:left="120" w:right="120"/>
      </w:pPr>
      <w:r>
        <w:rPr>
          <w:rFonts w:ascii="Consolas" w:cs="Consolas" w:eastAsia="Consolas" w:hAnsi="Consolas"/>
          <w:sz w:val="18"/>
          <w:szCs w:val="18"/>
        </w:rPr>
        <w:t xml:space="preserve">├── Cálculo de tarifa por especialidad (L.19–37)</w:t>
      </w:r>
    </w:p>
    <w:p>
      <w:pPr>
        <w:shd w:fill="F2F2F2" w:color="auto" w:val="clear"/>
        <w:spacing w:after="0" w:line="252"/>
        <w:ind w:left="120" w:right="120"/>
      </w:pPr>
      <w:r>
        <w:rPr>
          <w:rFonts w:ascii="Consolas" w:cs="Consolas" w:eastAsia="Consolas" w:hAnsi="Consolas"/>
          <w:sz w:val="18"/>
          <w:szCs w:val="18"/>
        </w:rPr>
        <w:t xml:space="preserve">├── Descuento por convenio y recargos (L.39–57)</w:t>
      </w:r>
    </w:p>
    <w:p>
      <w:pPr>
        <w:shd w:fill="F2F2F2" w:color="auto" w:val="clear"/>
        <w:spacing w:after="0" w:line="252"/>
        <w:ind w:left="120" w:right="120"/>
      </w:pPr>
      <w:r>
        <w:rPr>
          <w:rFonts w:ascii="Consolas" w:cs="Consolas" w:eastAsia="Consolas" w:hAnsi="Consolas"/>
          <w:sz w:val="18"/>
          <w:szCs w:val="18"/>
        </w:rPr>
        <w:t xml:space="preserve">├── Construcción de la Cita y generación del Id (L.58–66)</w:t>
      </w:r>
    </w:p>
    <w:p>
      <w:pPr>
        <w:shd w:fill="F2F2F2" w:color="auto" w:val="clear"/>
        <w:spacing w:after="0" w:line="252"/>
        <w:ind w:left="120" w:right="120"/>
      </w:pPr>
      <w:r>
        <w:rPr>
          <w:rFonts w:ascii="Consolas" w:cs="Consolas" w:eastAsia="Consolas" w:hAnsi="Consolas"/>
          <w:sz w:val="18"/>
          <w:szCs w:val="18"/>
        </w:rPr>
        <w:t xml:space="preserve">├── Persistencia SQL Server, vía SqlServerEjecutor (L.68, L.88)</w:t>
      </w:r>
    </w:p>
    <w:p>
      <w:pPr>
        <w:shd w:fill="F2F2F2" w:color="auto" w:val="clear"/>
        <w:spacing w:after="0" w:line="252"/>
        <w:ind w:left="120" w:right="120"/>
      </w:pPr>
      <w:r>
        <w:rPr>
          <w:rFonts w:ascii="Consolas" w:cs="Consolas" w:eastAsia="Consolas" w:hAnsi="Consolas"/>
          <w:sz w:val="18"/>
          <w:szCs w:val="18"/>
        </w:rPr>
        <w:t xml:space="preserve">├── Notificaciones Email/SMS (L.69, L.89)</w:t>
      </w:r>
    </w:p>
    <w:p>
      <w:pPr>
        <w:shd w:fill="F2F2F2" w:color="auto" w:val="clear"/>
        <w:spacing w:after="0" w:line="252"/>
        <w:ind w:left="120" w:right="120"/>
      </w:pPr>
      <w:r>
        <w:rPr>
          <w:rFonts w:ascii="Consolas" w:cs="Consolas" w:eastAsia="Consolas" w:hAnsi="Consolas"/>
          <w:sz w:val="18"/>
          <w:szCs w:val="18"/>
        </w:rPr>
        <w:t xml:space="preserve">├── Política de cancelación y penalización (L.77–86)</w:t>
      </w:r>
    </w:p>
    <w:p>
      <w:pPr>
        <w:shd w:fill="F2F2F2" w:color="auto" w:val="clear"/>
        <w:spacing w:after="0" w:line="252"/>
        <w:ind w:left="120" w:right="120"/>
      </w:pPr>
      <w:r>
        <w:rPr>
          <w:rFonts w:ascii="Consolas" w:cs="Consolas" w:eastAsia="Consolas" w:hAnsi="Consolas"/>
          <w:sz w:val="18"/>
          <w:szCs w:val="18"/>
        </w:rPr>
        <w:t xml:space="preserve">└── Acumuladores de reporte en memoria (L.9–10, 71, 91, 95, 97)</w:t>
      </w:r>
    </w:p>
    <w:p>
      <w:pPr>
        <w:spacing w:after="120"/>
      </w:pPr>
    </w:p>
    <w:p>
      <w:pPr>
        <w:pStyle w:val="Heading1"/>
        <w:keepNext/>
        <w:spacing w:after="160" w:before="360"/>
      </w:pPr>
      <w:r>
        <w:rPr>
          <w:rFonts w:ascii="Calibri" w:cs="Calibri" w:eastAsia="Calibri" w:hAnsi="Calibri"/>
          <w:b/>
          <w:bCs/>
          <w:color w:val="1F3864"/>
          <w:sz w:val="30"/>
          <w:szCs w:val="30"/>
        </w:rPr>
        <w:t xml:space="preserve">3. Línea base funcional</w:t>
      </w:r>
    </w:p>
    <w:p>
      <w:pPr>
        <w:spacing w:after="120" w:line="276"/>
      </w:pPr>
      <w:r>
        <w:rPr>
          <w:rFonts w:ascii="Calibri" w:cs="Calibri" w:eastAsia="Calibri" w:hAnsi="Calibri"/>
        </w:rPr>
        <w:t xml:space="preserve">Para demostrar que la refactorización no altera el comportamiento, se fija el resultado esperado del escenario de </w:t>
      </w:r>
      <w:r>
        <w:rPr>
          <w:rFonts w:ascii="Consolas" w:cs="Consolas" w:eastAsia="Consolas" w:hAnsi="Consolas"/>
          <w:sz w:val="20"/>
          <w:szCs w:val="20"/>
        </w:rPr>
        <w:t xml:space="preserve">Program.cs</w:t>
      </w:r>
      <w:r>
        <w:rPr>
          <w:rFonts w:ascii="Calibri" w:cs="Calibri" w:eastAsia="Calibri" w:hAnsi="Calibri"/>
        </w:rPr>
        <w:t xml:space="preserve">: paciente de convenio EPS en primera visita, odontólogo de Cirugía, radiografía requerida, cita a 12 horas y cancelación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3200"/>
        <w:gridCol w:w="2260"/>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Paso</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Regla aplicada (GestorCitasOdontologicas.cs)</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Resultado</w:t>
            </w:r>
          </w:p>
        </w:tc>
      </w:tr>
      <w:tr>
        <w:trPr>
          <w:cantSplit/>
        </w:trPr>
        <w:tc>
          <w:tcPr>
            <w:tcW w:type="dxa" w:w="39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Costo base de consulta</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L.19</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100,00</w:t>
            </w:r>
          </w:p>
        </w:tc>
      </w:tr>
      <w:tr>
        <w:trPr>
          <w:cantSplit/>
        </w:trPr>
        <w:tc>
          <w:tcPr>
            <w:tcW w:type="dxa" w:w="39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Especialidad Cirugía (×2,5)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L.30–33</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250,00</w:t>
            </w:r>
          </w:p>
        </w:tc>
      </w:tr>
      <w:tr>
        <w:trPr>
          <w:cantSplit/>
        </w:trPr>
        <w:tc>
          <w:tcPr>
            <w:tcW w:type="dxa" w:w="39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Convenio EPS (×0,30)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L.40–43</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75,00</w:t>
            </w:r>
          </w:p>
        </w:tc>
      </w:tr>
      <w:tr>
        <w:trPr>
          <w:cantSplit/>
        </w:trPr>
        <w:tc>
          <w:tcPr>
            <w:tcW w:type="dxa" w:w="39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Primera vez (+20)</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L.49–52</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95,00</w:t>
            </w:r>
          </w:p>
        </w:tc>
      </w:tr>
      <w:tr>
        <w:trPr>
          <w:cantSplit/>
        </w:trPr>
        <w:tc>
          <w:tcPr>
            <w:tcW w:type="dxa" w:w="39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Radiografía (+35)</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L.54–57</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130,00 (copago final)</w:t>
            </w:r>
          </w:p>
        </w:tc>
      </w:tr>
      <w:tr>
        <w:trPr>
          <w:cantSplit/>
        </w:trPr>
        <w:tc>
          <w:tcPr>
            <w:tcW w:type="dxa" w:w="3900"/>
            <w:tcBorders>
              <w:top w:val="single" w:color="BFBFBF" w:sz="4"/>
              <w:left w:val="single" w:color="BFBFBF" w:sz="4"/>
              <w:bottom w:val="single" w:color="BFBFBF" w:sz="4"/>
              <w:right w:val="single" w:color="BFBFBF" w:sz="4"/>
            </w:tcBorders>
            <w:shd w:fill="EEF2F8" w:color="auto" w:val="clear"/>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Cancelación a menos de 24 h: 50 + 40 por Cirugía</w:t>
            </w:r>
          </w:p>
        </w:tc>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L.79–83</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90,00 (penalización)</w:t>
            </w:r>
          </w:p>
        </w:tc>
      </w:tr>
    </w:tbl>
    <w:p>
      <w:pPr>
        <w:spacing w:after="120"/>
      </w:pPr>
    </w:p>
    <w:p>
      <w:pPr>
        <w:spacing w:after="120" w:line="276"/>
      </w:pPr>
      <w:r>
        <w:rPr>
          <w:rFonts w:ascii="Calibri" w:cs="Calibri" w:eastAsia="Calibri" w:hAnsi="Calibri"/>
        </w:rPr>
        <w:t xml:space="preserve">Los valores 130,00 y 90,00 son los casos de aceptación de la versión refactorizada.</w:t>
      </w:r>
    </w:p>
    <w:p>
      <w:pPr>
        <w:pStyle w:val="Heading1"/>
        <w:keepNext/>
        <w:spacing w:after="160" w:before="360"/>
      </w:pPr>
      <w:r>
        <w:rPr>
          <w:rFonts w:ascii="Calibri" w:cs="Calibri" w:eastAsia="Calibri" w:hAnsi="Calibri"/>
          <w:b/>
          <w:bCs/>
          <w:color w:val="1F3864"/>
          <w:sz w:val="30"/>
          <w:szCs w:val="30"/>
        </w:rPr>
        <w:t xml:space="preserve">4. Fase 1 — Diagnóstico SOLID</w:t>
      </w:r>
    </w:p>
    <w:p>
      <w:pPr>
        <w:spacing w:after="120" w:line="276"/>
      </w:pPr>
      <w:r>
        <w:rPr>
          <w:rFonts w:ascii="Calibri" w:cs="Calibri" w:eastAsia="Calibri" w:hAnsi="Calibri"/>
        </w:rPr>
        <w:t xml:space="preserve">En SRP, OCP y DIP la violación es directa y verificable en el código. En LSP e ISP el sistema no tiene herencia ni interfaces, así que la violación se manifiesta por ausencia de abstracciones: los contratos que deberían existir están reemplazados por códigos primitivos y por clases concretas que exponen más de lo que cada cliente necesita.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3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Principio</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Tipo de violación</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Síntesis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SRP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Directa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GestorCitasOdontologicas</w:t>
            </w:r>
            <w:r>
              <w:rPr>
                <w:rFonts w:ascii="Calibri" w:cs="Calibri" w:eastAsia="Calibri" w:hAnsi="Calibri"/>
                <w:b w:val="false"/>
                <w:bCs w:val="false"/>
                <w:sz w:val="19"/>
                <w:szCs w:val="19"/>
              </w:rPr>
              <w:t xml:space="preserve"> reúne al menos siete responsabilidades que responden a actores distintos: negocio, tesorería, infraestructura y comunicación.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OCP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Directa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Cadenas </w:t>
            </w:r>
            <w:r>
              <w:rPr>
                <w:rFonts w:ascii="Consolas" w:cs="Consolas" w:eastAsia="Consolas" w:hAnsi="Consolas"/>
                <w:sz w:val="17"/>
                <w:szCs w:val="17"/>
              </w:rPr>
              <w:t xml:space="preserve">if/else</w:t>
            </w:r>
            <w:r>
              <w:rPr>
                <w:rFonts w:ascii="Calibri" w:cs="Calibri" w:eastAsia="Calibri" w:hAnsi="Calibri"/>
                <w:b w:val="false"/>
                <w:bCs w:val="false"/>
                <w:sz w:val="19"/>
                <w:szCs w:val="19"/>
              </w:rPr>
              <w:t xml:space="preserve"> por especialidad, convenio y tipo de cita: cada variante nueva obliga a modificar </w:t>
            </w:r>
            <w:r>
              <w:rPr>
                <w:rFonts w:ascii="Consolas" w:cs="Consolas" w:eastAsia="Consolas" w:hAnsi="Consolas"/>
                <w:sz w:val="17"/>
                <w:szCs w:val="17"/>
              </w:rPr>
              <w:t xml:space="preserve">AgendarCita</w:t>
            </w:r>
            <w:r>
              <w:rPr>
                <w:rFonts w:ascii="Calibri" w:cs="Calibri" w:eastAsia="Calibri" w:hAnsi="Calibri"/>
                <w:b w:val="false"/>
                <w:bCs w:val="false"/>
                <w:sz w:val="19"/>
                <w:szCs w:val="19"/>
              </w:rPr>
              <w:t xml:space="preserve"> o </w:t>
            </w:r>
            <w:r>
              <w:rPr>
                <w:rFonts w:ascii="Consolas" w:cs="Consolas" w:eastAsia="Consolas" w:hAnsi="Consolas"/>
                <w:sz w:val="17"/>
                <w:szCs w:val="17"/>
              </w:rPr>
              <w:t xml:space="preserve">CancelarCita</w:t>
            </w:r>
            <w:r>
              <w:rPr>
                <w:rFonts w:ascii="Calibri" w:cs="Calibri" w:eastAsia="Calibri" w:hAnsi="Calibri"/>
                <w:b w:val="false"/>
                <w:bCs w:val="false"/>
                <w:sz w:val="19"/>
                <w:szCs w:val="19"/>
              </w:rPr>
              <w:t xml:space="preserv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LSP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Indirecta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Códigos enteros y cadenas sustituyen al polimorfismo; no existe un contrato que un subtipo pueda respetar o romper.</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ISP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Indirecta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Contratos concretos y amplios: un solo método envía correo y SMS, y un solo servicio de datos agrupa todas las operaciones.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DIP</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Directa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El módulo de alto nivel crea con </w:t>
            </w:r>
            <w:r>
              <w:rPr>
                <w:rFonts w:ascii="Consolas" w:cs="Consolas" w:eastAsia="Consolas" w:hAnsi="Consolas"/>
                <w:sz w:val="17"/>
                <w:szCs w:val="17"/>
              </w:rPr>
              <w:t xml:space="preserve">new</w:t>
            </w:r>
            <w:r>
              <w:rPr>
                <w:rFonts w:ascii="Calibri" w:cs="Calibri" w:eastAsia="Calibri" w:hAnsi="Calibri"/>
                <w:b w:val="false"/>
                <w:bCs w:val="false"/>
                <w:sz w:val="19"/>
                <w:szCs w:val="19"/>
              </w:rPr>
              <w:t xml:space="preserve"> sus dependencias concretas, y las de infraestructura tienen credenciales incrustadas.</w:t>
            </w:r>
          </w:p>
        </w:tc>
      </w:tr>
    </w:tbl>
    <w:p>
      <w:pPr>
        <w:pStyle w:val="Heading2"/>
        <w:keepNext/>
        <w:spacing w:after="120" w:before="240"/>
      </w:pPr>
      <w:r>
        <w:rPr>
          <w:rFonts w:ascii="Calibri" w:cs="Calibri" w:eastAsia="Calibri" w:hAnsi="Calibri"/>
          <w:b/>
          <w:bCs/>
          <w:color w:val="1F3864"/>
          <w:sz w:val="25"/>
          <w:szCs w:val="25"/>
        </w:rPr>
        <w:t xml:space="preserve">4.1. SRP — Single Responsibility Principle</w:t>
      </w:r>
    </w:p>
    <w:p>
      <w:pPr>
        <w:spacing w:after="120" w:line="276"/>
      </w:pPr>
      <w:r>
        <w:rPr>
          <w:rFonts w:ascii="Calibri" w:cs="Calibri" w:eastAsia="Calibri" w:hAnsi="Calibri"/>
        </w:rPr>
        <w:t xml:space="preserve">Una sola clase cambia por razones de actores distintos: el área clínica (disponibilidad), finanzas (tarifas, convenios y penalizaciones), tecnología (SQL Server, SMTP, Twilio) y gerencia (reportes).</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L.14–17: validación de disponibilidad.</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L.19–57: cálculo completo del copago (especialidad, convenio, primera vez y radiografía).</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L.58–66: creación de la entidad y generación del identificador.</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L.68–69 y L.88–89: orquestación de persistencia y notificación.</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L.77–86: política de cancelación y multas.</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L.9–10, 71, 91, 95 y 97: estado acumulado para reportes.</w:t>
      </w:r>
    </w:p>
    <w:p>
      <w:pPr>
        <w:pStyle w:val="ListParagraph"/>
        <w:numPr>
          <w:ilvl w:val="0"/>
          <w:numId w:val="2"/>
        </w:numPr>
        <w:spacing w:after="70" w:line="276"/>
      </w:pPr>
      <w:r>
        <w:rPr>
          <w:rFonts w:ascii="Consolas" w:cs="Consolas" w:eastAsia="Consolas" w:hAnsi="Consolas"/>
          <w:sz w:val="20"/>
          <w:szCs w:val="20"/>
        </w:rPr>
        <w:t xml:space="preserve">NotificacionServicio.cs</w:t>
      </w:r>
      <w:r>
        <w:rPr>
          <w:rFonts w:ascii="Calibri" w:cs="Calibri" w:eastAsia="Calibri" w:hAnsi="Calibri"/>
        </w:rPr>
        <w:t xml:space="preserve">, L.12–21: un único método mezcla correo, SMS, configuración y credenciales.</w:t>
      </w:r>
    </w:p>
    <w:p>
      <w:pPr>
        <w:pStyle w:val="ListParagraph"/>
        <w:numPr>
          <w:ilvl w:val="0"/>
          <w:numId w:val="2"/>
        </w:numPr>
        <w:spacing w:after="70" w:line="276"/>
      </w:pPr>
      <w:r>
        <w:rPr>
          <w:rFonts w:ascii="Consolas" w:cs="Consolas" w:eastAsia="Consolas" w:hAnsi="Consolas"/>
          <w:sz w:val="20"/>
          <w:szCs w:val="20"/>
        </w:rPr>
        <w:t xml:space="preserve">Cita.cs</w:t>
      </w:r>
      <w:r>
        <w:rPr>
          <w:rFonts w:ascii="Calibri" w:cs="Calibri" w:eastAsia="Calibri" w:hAnsi="Calibri"/>
        </w:rPr>
        <w:t xml:space="preserve">, L.16: la entidad genera texto de presentación (</w:t>
      </w:r>
      <w:r>
        <w:rPr>
          <w:rFonts w:ascii="Consolas" w:cs="Consolas" w:eastAsia="Consolas" w:hAnsi="Consolas"/>
          <w:sz w:val="20"/>
          <w:szCs w:val="20"/>
        </w:rPr>
        <w:t xml:space="preserve">GenerarTextoConfirmacion</w:t>
      </w:r>
      <w:r>
        <w:rPr>
          <w:rFonts w:ascii="Calibri" w:cs="Calibri" w:eastAsia="Calibri" w:hAnsi="Calibri"/>
        </w:rPr>
        <w:t xml:space="preserve">).</w:t>
      </w:r>
    </w:p>
    <w:p>
      <w:pPr>
        <w:pStyle w:val="Heading2"/>
        <w:keepNext/>
        <w:spacing w:after="120" w:before="240"/>
      </w:pPr>
      <w:r>
        <w:rPr>
          <w:rFonts w:ascii="Calibri" w:cs="Calibri" w:eastAsia="Calibri" w:hAnsi="Calibri"/>
          <w:b/>
          <w:bCs/>
          <w:color w:val="1F3864"/>
          <w:sz w:val="25"/>
          <w:szCs w:val="25"/>
        </w:rPr>
        <w:t xml:space="preserve">4.2. OCP — Open/Closed Principle</w:t>
      </w:r>
    </w:p>
    <w:p>
      <w:pPr>
        <w:spacing w:after="120" w:line="276"/>
      </w:pPr>
      <w:r>
        <w:rPr>
          <w:rFonts w:ascii="Calibri" w:cs="Calibri" w:eastAsia="Calibri" w:hAnsi="Calibri"/>
        </w:rPr>
        <w:t xml:space="preserve">El comportamiento variable está codificado con condicionales sobre enteros, de modo que extender el sistema exige editar código estable que ya fue probado.</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L.22–37: cadena </w:t>
      </w:r>
      <w:r>
        <w:rPr>
          <w:rFonts w:ascii="Consolas" w:cs="Consolas" w:eastAsia="Consolas" w:hAnsi="Consolas"/>
          <w:sz w:val="20"/>
          <w:szCs w:val="20"/>
        </w:rPr>
        <w:t xml:space="preserve">if / else if</w:t>
      </w:r>
      <w:r>
        <w:rPr>
          <w:rFonts w:ascii="Calibri" w:cs="Calibri" w:eastAsia="Calibri" w:hAnsi="Calibri"/>
        </w:rPr>
        <w:t xml:space="preserve"> por </w:t>
      </w:r>
      <w:r>
        <w:rPr>
          <w:rFonts w:ascii="Consolas" w:cs="Consolas" w:eastAsia="Consolas" w:hAnsi="Consolas"/>
          <w:sz w:val="20"/>
          <w:szCs w:val="20"/>
        </w:rPr>
        <w:t xml:space="preserve">tipoEspecialidad</w:t>
      </w:r>
      <w:r>
        <w:rPr>
          <w:rFonts w:ascii="Calibri" w:cs="Calibri" w:eastAsia="Calibri" w:hAnsi="Calibri"/>
        </w:rPr>
        <w:t xml:space="preserve"> (1 a 4). Agregar una especialidad implica modificar </w:t>
      </w:r>
      <w:r>
        <w:rPr>
          <w:rFonts w:ascii="Consolas" w:cs="Consolas" w:eastAsia="Consolas" w:hAnsi="Consolas"/>
          <w:sz w:val="20"/>
          <w:szCs w:val="20"/>
        </w:rPr>
        <w:t xml:space="preserve">AgendarCita</w:t>
      </w:r>
      <w:r>
        <w:rPr>
          <w:rFonts w:ascii="Calibri" w:cs="Calibri" w:eastAsia="Calibri" w:hAnsi="Calibri"/>
        </w:rPr>
        <w:t xml:space="preserve">.</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L.40–47: descuentos por </w:t>
      </w:r>
      <w:r>
        <w:rPr>
          <w:rFonts w:ascii="Consolas" w:cs="Consolas" w:eastAsia="Consolas" w:hAnsi="Consolas"/>
          <w:sz w:val="20"/>
          <w:szCs w:val="20"/>
        </w:rPr>
        <w:t xml:space="preserve">TipoConvenio</w:t>
      </w:r>
      <w:r>
        <w:rPr>
          <w:rFonts w:ascii="Calibri" w:cs="Calibri" w:eastAsia="Calibri" w:hAnsi="Calibri"/>
        </w:rPr>
        <w:t xml:space="preserve"> (2 = EPS, 3 = Prepagada). Un convenio nuevo implica modificar el mismo método.</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L.49–57: recargos fijos (primera vez y radiografía) incrustados en el flujo.</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L.79–83: la penalización de 50 y el recargo de 40 por Cirugía están fijados; una regla nueva exige editar </w:t>
      </w:r>
      <w:r>
        <w:rPr>
          <w:rFonts w:ascii="Consolas" w:cs="Consolas" w:eastAsia="Consolas" w:hAnsi="Consolas"/>
          <w:sz w:val="20"/>
          <w:szCs w:val="20"/>
        </w:rPr>
        <w:t xml:space="preserve">CancelarCita</w:t>
      </w:r>
      <w:r>
        <w:rPr>
          <w:rFonts w:ascii="Calibri" w:cs="Calibri" w:eastAsia="Calibri" w:hAnsi="Calibri"/>
        </w:rPr>
        <w:t xml:space="preserve">.</w:t>
      </w:r>
    </w:p>
    <w:p>
      <w:pPr>
        <w:pStyle w:val="ListParagraph"/>
        <w:numPr>
          <w:ilvl w:val="0"/>
          <w:numId w:val="2"/>
        </w:numPr>
        <w:spacing w:after="70" w:line="276"/>
      </w:pPr>
      <w:r>
        <w:rPr>
          <w:rFonts w:ascii="Consolas" w:cs="Consolas" w:eastAsia="Consolas" w:hAnsi="Consolas"/>
          <w:sz w:val="20"/>
          <w:szCs w:val="20"/>
        </w:rPr>
        <w:t xml:space="preserve">NotificacionServicio.cs</w:t>
      </w:r>
      <w:r>
        <w:rPr>
          <w:rFonts w:ascii="Calibri" w:cs="Calibri" w:eastAsia="Calibri" w:hAnsi="Calibri"/>
        </w:rPr>
        <w:t xml:space="preserve">, L.14–21: un canal nuevo (por ejemplo WhatsApp) obliga a modificar </w:t>
      </w:r>
      <w:r>
        <w:rPr>
          <w:rFonts w:ascii="Consolas" w:cs="Consolas" w:eastAsia="Consolas" w:hAnsi="Consolas"/>
          <w:sz w:val="20"/>
          <w:szCs w:val="20"/>
        </w:rPr>
        <w:t xml:space="preserve">EnviarEmailYSms</w:t>
      </w:r>
      <w:r>
        <w:rPr>
          <w:rFonts w:ascii="Calibri" w:cs="Calibri" w:eastAsia="Calibri" w:hAnsi="Calibri"/>
        </w:rPr>
        <w:t xml:space="preserve">.</w:t>
      </w:r>
    </w:p>
    <w:p>
      <w:pPr>
        <w:pStyle w:val="Heading2"/>
        <w:keepNext/>
        <w:spacing w:after="120" w:before="240"/>
      </w:pPr>
      <w:r>
        <w:rPr>
          <w:rFonts w:ascii="Calibri" w:cs="Calibri" w:eastAsia="Calibri" w:hAnsi="Calibri"/>
          <w:b/>
          <w:bCs/>
          <w:color w:val="1F3864"/>
          <w:sz w:val="25"/>
          <w:szCs w:val="25"/>
        </w:rPr>
        <w:t xml:space="preserve">4.3. LSP — Liskov Substitution Principle</w:t>
      </w:r>
    </w:p>
    <w:p>
      <w:pPr>
        <w:spacing w:after="120" w:line="276"/>
      </w:pPr>
      <w:r>
        <w:rPr>
          <w:rFonts w:ascii="Calibri" w:cs="Calibri" w:eastAsia="Calibri" w:hAnsi="Calibri"/>
        </w:rPr>
        <w:t xml:space="preserve">El sistema no usa herencia ni interfaces, por lo que no hay una subclase que rompa el contrato de su padre. El problema es la ausencia del contrato: las variantes de negocio se representan con códigos primitivos y quien consume el dato debe conocer cada valor concreto. Es un síntoma equivalente a la comprobación de tipos con </w:t>
      </w:r>
      <w:r>
        <w:rPr>
          <w:rFonts w:ascii="Consolas" w:cs="Consolas" w:eastAsia="Consolas" w:hAnsi="Consolas"/>
          <w:sz w:val="20"/>
          <w:szCs w:val="20"/>
        </w:rPr>
        <w:t xml:space="preserve">instanceof</w:t>
      </w:r>
      <w:r>
        <w:rPr>
          <w:rFonts w:ascii="Calibri" w:cs="Calibri" w:eastAsia="Calibri" w:hAnsi="Calibri"/>
        </w:rPr>
        <w:t xml:space="preserve">, que en clase se señala como indicio de violación de LSP.</w:t>
      </w:r>
    </w:p>
    <w:p>
      <w:pPr>
        <w:pStyle w:val="ListParagraph"/>
        <w:numPr>
          <w:ilvl w:val="0"/>
          <w:numId w:val="2"/>
        </w:numPr>
        <w:spacing w:after="70" w:line="276"/>
      </w:pPr>
      <w:r>
        <w:rPr>
          <w:rFonts w:ascii="Consolas" w:cs="Consolas" w:eastAsia="Consolas" w:hAnsi="Consolas"/>
          <w:sz w:val="20"/>
          <w:szCs w:val="20"/>
        </w:rPr>
        <w:t xml:space="preserve">Paciente.cs</w:t>
      </w:r>
      <w:r>
        <w:rPr>
          <w:rFonts w:ascii="Calibri" w:cs="Calibri" w:eastAsia="Calibri" w:hAnsi="Calibri"/>
        </w:rPr>
        <w:t xml:space="preserve">, L.13: </w:t>
      </w:r>
      <w:r>
        <w:rPr>
          <w:rFonts w:ascii="Consolas" w:cs="Consolas" w:eastAsia="Consolas" w:hAnsi="Consolas"/>
          <w:sz w:val="20"/>
          <w:szCs w:val="20"/>
        </w:rPr>
        <w:t xml:space="preserve">TipoConvenio</w:t>
      </w:r>
      <w:r>
        <w:rPr>
          <w:rFonts w:ascii="Calibri" w:cs="Calibri" w:eastAsia="Calibri" w:hAnsi="Calibri"/>
        </w:rPr>
        <w:t xml:space="preserve"> como </w:t>
      </w:r>
      <w:r>
        <w:rPr>
          <w:rFonts w:ascii="Consolas" w:cs="Consolas" w:eastAsia="Consolas" w:hAnsi="Consolas"/>
          <w:sz w:val="20"/>
          <w:szCs w:val="20"/>
        </w:rPr>
        <w:t xml:space="preserve">int</w:t>
      </w:r>
      <w:r>
        <w:rPr>
          <w:rFonts w:ascii="Calibri" w:cs="Calibri" w:eastAsia="Calibri" w:hAnsi="Calibri"/>
        </w:rPr>
        <w:t xml:space="preserve"> (1, 2, 3); </w:t>
      </w:r>
      <w:r>
        <w:rPr>
          <w:rFonts w:ascii="Consolas" w:cs="Consolas" w:eastAsia="Consolas" w:hAnsi="Consolas"/>
          <w:sz w:val="20"/>
          <w:szCs w:val="20"/>
        </w:rPr>
        <w:t xml:space="preserve">Odontologo.cs</w:t>
      </w:r>
      <w:r>
        <w:rPr>
          <w:rFonts w:ascii="Calibri" w:cs="Calibri" w:eastAsia="Calibri" w:hAnsi="Calibri"/>
        </w:rPr>
        <w:t xml:space="preserve">, L.11: </w:t>
      </w:r>
      <w:r>
        <w:rPr>
          <w:rFonts w:ascii="Consolas" w:cs="Consolas" w:eastAsia="Consolas" w:hAnsi="Consolas"/>
          <w:sz w:val="20"/>
          <w:szCs w:val="20"/>
        </w:rPr>
        <w:t xml:space="preserve">EspecialidadId</w:t>
      </w:r>
      <w:r>
        <w:rPr>
          <w:rFonts w:ascii="Calibri" w:cs="Calibri" w:eastAsia="Calibri" w:hAnsi="Calibri"/>
        </w:rPr>
        <w:t xml:space="preserve"> como </w:t>
      </w:r>
      <w:r>
        <w:rPr>
          <w:rFonts w:ascii="Consolas" w:cs="Consolas" w:eastAsia="Consolas" w:hAnsi="Consolas"/>
          <w:sz w:val="20"/>
          <w:szCs w:val="20"/>
        </w:rPr>
        <w:t xml:space="preserve">int</w:t>
      </w:r>
      <w:r>
        <w:rPr>
          <w:rFonts w:ascii="Calibri" w:cs="Calibri" w:eastAsia="Calibri" w:hAnsi="Calibri"/>
        </w:rPr>
        <w:t xml:space="preserve">; </w:t>
      </w:r>
      <w:r>
        <w:rPr>
          <w:rFonts w:ascii="Consolas" w:cs="Consolas" w:eastAsia="Consolas" w:hAnsi="Consolas"/>
          <w:sz w:val="20"/>
          <w:szCs w:val="20"/>
        </w:rPr>
        <w:t xml:space="preserve">Cita.cs</w:t>
      </w:r>
      <w:r>
        <w:rPr>
          <w:rFonts w:ascii="Calibri" w:cs="Calibri" w:eastAsia="Calibri" w:hAnsi="Calibri"/>
        </w:rPr>
        <w:t xml:space="preserve">, L.14: </w:t>
      </w:r>
      <w:r>
        <w:rPr>
          <w:rFonts w:ascii="Consolas" w:cs="Consolas" w:eastAsia="Consolas" w:hAnsi="Consolas"/>
          <w:sz w:val="20"/>
          <w:szCs w:val="20"/>
        </w:rPr>
        <w:t xml:space="preserve">Estado</w:t>
      </w:r>
      <w:r>
        <w:rPr>
          <w:rFonts w:ascii="Calibri" w:cs="Calibri" w:eastAsia="Calibri" w:hAnsi="Calibri"/>
        </w:rPr>
        <w:t xml:space="preserve"> como </w:t>
      </w:r>
      <w:r>
        <w:rPr>
          <w:rFonts w:ascii="Consolas" w:cs="Consolas" w:eastAsia="Consolas" w:hAnsi="Consolas"/>
          <w:sz w:val="20"/>
          <w:szCs w:val="20"/>
        </w:rPr>
        <w:t xml:space="preserve">string</w:t>
      </w:r>
      <w:r>
        <w:rPr>
          <w:rFonts w:ascii="Calibri" w:cs="Calibri" w:eastAsia="Calibri" w:hAnsi="Calibri"/>
        </w:rPr>
        <w:t xml:space="preserve">.</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L.22–37 y L.40–47: el cliente discrimina por valor en lugar de tratar variantes intercambiables a través de una abstracción.</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L.16: se lanza una </w:t>
      </w:r>
      <w:r>
        <w:rPr>
          <w:rFonts w:ascii="Consolas" w:cs="Consolas" w:eastAsia="Consolas" w:hAnsi="Consolas"/>
          <w:sz w:val="20"/>
          <w:szCs w:val="20"/>
        </w:rPr>
        <w:t xml:space="preserve">Exception</w:t>
      </w:r>
      <w:r>
        <w:rPr>
          <w:rFonts w:ascii="Calibri" w:cs="Calibri" w:eastAsia="Calibri" w:hAnsi="Calibri"/>
        </w:rPr>
        <w:t xml:space="preserve"> genérica; el contrato de fallo de la operación no está definido.</w:t>
      </w:r>
    </w:p>
    <w:p>
      <w:pPr>
        <w:pStyle w:val="ListParagraph"/>
        <w:numPr>
          <w:ilvl w:val="0"/>
          <w:numId w:val="2"/>
        </w:numPr>
        <w:spacing w:after="70" w:line="276"/>
      </w:pPr>
      <w:r>
        <w:rPr>
          <w:rFonts w:ascii="Consolas" w:cs="Consolas" w:eastAsia="Consolas" w:hAnsi="Consolas"/>
          <w:sz w:val="20"/>
          <w:szCs w:val="20"/>
        </w:rPr>
        <w:t xml:space="preserve">SqlServerEjecutor</w:t>
      </w:r>
      <w:r>
        <w:rPr>
          <w:rFonts w:ascii="Calibri" w:cs="Calibri" w:eastAsia="Calibri" w:hAnsi="Calibri"/>
        </w:rPr>
        <w:t xml:space="preserve"> y </w:t>
      </w:r>
      <w:r>
        <w:rPr>
          <w:rFonts w:ascii="Consolas" w:cs="Consolas" w:eastAsia="Consolas" w:hAnsi="Consolas"/>
          <w:sz w:val="20"/>
          <w:szCs w:val="20"/>
        </w:rPr>
        <w:t xml:space="preserve">NotificacionServicio</w:t>
      </w:r>
      <w:r>
        <w:rPr>
          <w:rFonts w:ascii="Calibri" w:cs="Calibri" w:eastAsia="Calibri" w:hAnsi="Calibri"/>
        </w:rPr>
        <w:t xml:space="preserve"> no implementan abstracción alguna, así que no hay sustituto posible (memoria, otro proveedor) que respete un contrato.</w:t>
      </w:r>
    </w:p>
    <w:p>
      <w:pPr>
        <w:pStyle w:val="Heading2"/>
        <w:keepNext/>
        <w:spacing w:after="120" w:before="240"/>
      </w:pPr>
      <w:r>
        <w:rPr>
          <w:rFonts w:ascii="Calibri" w:cs="Calibri" w:eastAsia="Calibri" w:hAnsi="Calibri"/>
          <w:b/>
          <w:bCs/>
          <w:color w:val="1F3864"/>
          <w:sz w:val="25"/>
          <w:szCs w:val="25"/>
        </w:rPr>
        <w:t xml:space="preserve">4.4. ISP — Interface Segregation Principle</w:t>
      </w:r>
    </w:p>
    <w:p>
      <w:pPr>
        <w:spacing w:after="120" w:line="276"/>
      </w:pPr>
      <w:r>
        <w:rPr>
          <w:rFonts w:ascii="Calibri" w:cs="Calibri" w:eastAsia="Calibri" w:hAnsi="Calibri"/>
        </w:rPr>
        <w:t xml:space="preserve">Al no haber interfaces, los clientes dependen de clases concretas que exponen más de lo que cada uno necesita.</w:t>
      </w:r>
    </w:p>
    <w:p>
      <w:pPr>
        <w:pStyle w:val="ListParagraph"/>
        <w:numPr>
          <w:ilvl w:val="0"/>
          <w:numId w:val="2"/>
        </w:numPr>
        <w:spacing w:after="70" w:line="276"/>
      </w:pPr>
      <w:r>
        <w:rPr>
          <w:rFonts w:ascii="Consolas" w:cs="Consolas" w:eastAsia="Consolas" w:hAnsi="Consolas"/>
          <w:sz w:val="20"/>
          <w:szCs w:val="20"/>
        </w:rPr>
        <w:t xml:space="preserve">NotificacionServicio.cs</w:t>
      </w:r>
      <w:r>
        <w:rPr>
          <w:rFonts w:ascii="Calibri" w:cs="Calibri" w:eastAsia="Calibri" w:hAnsi="Calibri"/>
        </w:rPr>
        <w:t xml:space="preserve">, L.12–21: el método </w:t>
      </w:r>
      <w:r>
        <w:rPr>
          <w:rFonts w:ascii="Consolas" w:cs="Consolas" w:eastAsia="Consolas" w:hAnsi="Consolas"/>
          <w:sz w:val="20"/>
          <w:szCs w:val="20"/>
        </w:rPr>
        <w:t xml:space="preserve">EnviarEmailYSms</w:t>
      </w:r>
      <w:r>
        <w:rPr>
          <w:rFonts w:ascii="Calibri" w:cs="Calibri" w:eastAsia="Calibri" w:hAnsi="Calibri"/>
        </w:rPr>
        <w:t xml:space="preserve"> obliga a quien solo quiere correo a enviar también SMS, y viceversa.</w:t>
      </w:r>
    </w:p>
    <w:p>
      <w:pPr>
        <w:pStyle w:val="ListParagraph"/>
        <w:numPr>
          <w:ilvl w:val="0"/>
          <w:numId w:val="2"/>
        </w:numPr>
        <w:spacing w:after="70" w:line="276"/>
      </w:pPr>
      <w:r>
        <w:rPr>
          <w:rFonts w:ascii="Consolas" w:cs="Consolas" w:eastAsia="Consolas" w:hAnsi="Consolas"/>
          <w:sz w:val="20"/>
          <w:szCs w:val="20"/>
        </w:rPr>
        <w:t xml:space="preserve">NotificacionServicio.cs</w:t>
      </w:r>
      <w:r>
        <w:rPr>
          <w:rFonts w:ascii="Calibri" w:cs="Calibri" w:eastAsia="Calibri" w:hAnsi="Calibri"/>
        </w:rPr>
        <w:t xml:space="preserve">, L.12: recibe la </w:t>
      </w:r>
      <w:r>
        <w:rPr>
          <w:rFonts w:ascii="Consolas" w:cs="Consolas" w:eastAsia="Consolas" w:hAnsi="Consolas"/>
          <w:sz w:val="20"/>
          <w:szCs w:val="20"/>
        </w:rPr>
        <w:t xml:space="preserve">Cita</w:t>
      </w:r>
      <w:r>
        <w:rPr>
          <w:rFonts w:ascii="Calibri" w:cs="Calibri" w:eastAsia="Calibri" w:hAnsi="Calibri"/>
        </w:rPr>
        <w:t xml:space="preserve"> completa (con </w:t>
      </w:r>
      <w:r>
        <w:rPr>
          <w:rFonts w:ascii="Consolas" w:cs="Consolas" w:eastAsia="Consolas" w:hAnsi="Consolas"/>
          <w:sz w:val="20"/>
          <w:szCs w:val="20"/>
        </w:rPr>
        <w:t xml:space="preserve">Paciente</w:t>
      </w:r>
      <w:r>
        <w:rPr>
          <w:rFonts w:ascii="Calibri" w:cs="Calibri" w:eastAsia="Calibri" w:hAnsi="Calibri"/>
        </w:rPr>
        <w:t xml:space="preserve"> y </w:t>
      </w:r>
      <w:r>
        <w:rPr>
          <w:rFonts w:ascii="Consolas" w:cs="Consolas" w:eastAsia="Consolas" w:hAnsi="Consolas"/>
          <w:sz w:val="20"/>
          <w:szCs w:val="20"/>
        </w:rPr>
        <w:t xml:space="preserve">Odontologo</w:t>
      </w:r>
      <w:r>
        <w:rPr>
          <w:rFonts w:ascii="Calibri" w:cs="Calibri" w:eastAsia="Calibri" w:hAnsi="Calibri"/>
        </w:rPr>
        <w:t xml:space="preserve">) aunque solo usa correo, fecha y copago.</w:t>
      </w:r>
    </w:p>
    <w:p>
      <w:pPr>
        <w:pStyle w:val="ListParagraph"/>
        <w:numPr>
          <w:ilvl w:val="0"/>
          <w:numId w:val="2"/>
        </w:numPr>
        <w:spacing w:after="70" w:line="276"/>
      </w:pPr>
      <w:r>
        <w:rPr>
          <w:rFonts w:ascii="Consolas" w:cs="Consolas" w:eastAsia="Consolas" w:hAnsi="Consolas"/>
          <w:sz w:val="20"/>
          <w:szCs w:val="20"/>
        </w:rPr>
        <w:t xml:space="preserve">SqlServerEjecutor.cs</w:t>
      </w:r>
      <w:r>
        <w:rPr>
          <w:rFonts w:ascii="Calibri" w:cs="Calibri" w:eastAsia="Calibri" w:hAnsi="Calibri"/>
        </w:rPr>
        <w:t xml:space="preserve">, L.11 y L.25: una sola clase mezcla las operaciones de agendamiento (</w:t>
      </w:r>
      <w:r>
        <w:rPr>
          <w:rFonts w:ascii="Consolas" w:cs="Consolas" w:eastAsia="Consolas" w:hAnsi="Consolas"/>
          <w:sz w:val="20"/>
          <w:szCs w:val="20"/>
        </w:rPr>
        <w:t xml:space="preserve">GuardarCita</w:t>
      </w:r>
      <w:r>
        <w:rPr>
          <w:rFonts w:ascii="Calibri" w:cs="Calibri" w:eastAsia="Calibri" w:hAnsi="Calibri"/>
        </w:rPr>
        <w:t xml:space="preserve">) y de cancelación (</w:t>
      </w:r>
      <w:r>
        <w:rPr>
          <w:rFonts w:ascii="Consolas" w:cs="Consolas" w:eastAsia="Consolas" w:hAnsi="Consolas"/>
          <w:sz w:val="20"/>
          <w:szCs w:val="20"/>
        </w:rPr>
        <w:t xml:space="preserve">ActualizarCancelacion</w:t>
      </w:r>
      <w:r>
        <w:rPr>
          <w:rFonts w:ascii="Calibri" w:cs="Calibri" w:eastAsia="Calibri" w:hAnsi="Calibri"/>
        </w:rPr>
        <w:t xml:space="preserve">).</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L.12, 75, 95 y 97: </w:t>
      </w:r>
      <w:r>
        <w:rPr>
          <w:rFonts w:ascii="Consolas" w:cs="Consolas" w:eastAsia="Consolas" w:hAnsi="Consolas"/>
          <w:sz w:val="20"/>
          <w:szCs w:val="20"/>
        </w:rPr>
        <w:t xml:space="preserve">Program.cs</w:t>
      </w:r>
      <w:r>
        <w:rPr>
          <w:rFonts w:ascii="Calibri" w:cs="Calibri" w:eastAsia="Calibri" w:hAnsi="Calibri"/>
        </w:rPr>
        <w:t xml:space="preserve"> depende de una clase que combina comandos (agendar, cancelar) y consultas de reporte.</w:t>
      </w:r>
    </w:p>
    <w:p>
      <w:pPr>
        <w:pStyle w:val="Heading2"/>
        <w:keepNext/>
        <w:spacing w:after="120" w:before="240"/>
      </w:pPr>
      <w:r>
        <w:rPr>
          <w:rFonts w:ascii="Calibri" w:cs="Calibri" w:eastAsia="Calibri" w:hAnsi="Calibri"/>
          <w:b/>
          <w:bCs/>
          <w:color w:val="1F3864"/>
          <w:sz w:val="25"/>
          <w:szCs w:val="25"/>
        </w:rPr>
        <w:t xml:space="preserve">4.5. DIP — Dependency Inversion Principle</w:t>
      </w:r>
    </w:p>
    <w:p>
      <w:pPr>
        <w:spacing w:after="120" w:line="276"/>
      </w:pPr>
      <w:r>
        <w:rPr>
          <w:rFonts w:ascii="Calibri" w:cs="Calibri" w:eastAsia="Calibri" w:hAnsi="Calibri"/>
        </w:rPr>
        <w:t xml:space="preserve">El módulo de alto nivel, que contiene las reglas de negocio, depende de detalles de bajo nivel (SQL Server, SMTP, Twilio) que además crea él mismo.</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L.7–8: </w:t>
      </w:r>
      <w:r>
        <w:rPr>
          <w:rFonts w:ascii="Consolas" w:cs="Consolas" w:eastAsia="Consolas" w:hAnsi="Consolas"/>
          <w:sz w:val="20"/>
          <w:szCs w:val="20"/>
        </w:rPr>
        <w:t xml:space="preserve">new SqlServerEjecutor()</w:t>
      </w:r>
      <w:r>
        <w:rPr>
          <w:rFonts w:ascii="Calibri" w:cs="Calibri" w:eastAsia="Calibri" w:hAnsi="Calibri"/>
        </w:rPr>
        <w:t xml:space="preserve"> y </w:t>
      </w:r>
      <w:r>
        <w:rPr>
          <w:rFonts w:ascii="Consolas" w:cs="Consolas" w:eastAsia="Consolas" w:hAnsi="Consolas"/>
          <w:sz w:val="20"/>
          <w:szCs w:val="20"/>
        </w:rPr>
        <w:t xml:space="preserve">new NotificacionServicio()</w:t>
      </w:r>
      <w:r>
        <w:rPr>
          <w:rFonts w:ascii="Calibri" w:cs="Calibri" w:eastAsia="Calibri" w:hAnsi="Calibri"/>
        </w:rPr>
        <w:t xml:space="preserve"> como campos concretos.</w:t>
      </w:r>
    </w:p>
    <w:p>
      <w:pPr>
        <w:pStyle w:val="ListParagraph"/>
        <w:numPr>
          <w:ilvl w:val="0"/>
          <w:numId w:val="2"/>
        </w:numPr>
        <w:spacing w:after="70" w:line="276"/>
      </w:pPr>
      <w:r>
        <w:rPr>
          <w:rFonts w:ascii="Consolas" w:cs="Consolas" w:eastAsia="Consolas" w:hAnsi="Consolas"/>
          <w:sz w:val="20"/>
          <w:szCs w:val="20"/>
        </w:rPr>
        <w:t xml:space="preserve">GestorCitasOdontologicas.cs</w:t>
      </w:r>
      <w:r>
        <w:rPr>
          <w:rFonts w:ascii="Calibri" w:cs="Calibri" w:eastAsia="Calibri" w:hAnsi="Calibri"/>
        </w:rPr>
        <w:t xml:space="preserve">, L.68–69 y L.88–89: uso directo de las clases concretas.</w:t>
      </w:r>
    </w:p>
    <w:p>
      <w:pPr>
        <w:pStyle w:val="ListParagraph"/>
        <w:numPr>
          <w:ilvl w:val="0"/>
          <w:numId w:val="2"/>
        </w:numPr>
        <w:spacing w:after="70" w:line="276"/>
      </w:pPr>
      <w:r>
        <w:rPr>
          <w:rFonts w:ascii="Consolas" w:cs="Consolas" w:eastAsia="Consolas" w:hAnsi="Consolas"/>
          <w:sz w:val="20"/>
          <w:szCs w:val="20"/>
        </w:rPr>
        <w:t xml:space="preserve">SqlServerEjecutor.cs</w:t>
      </w:r>
      <w:r>
        <w:rPr>
          <w:rFonts w:ascii="Calibri" w:cs="Calibri" w:eastAsia="Calibri" w:hAnsi="Calibri"/>
        </w:rPr>
        <w:t xml:space="preserve">, L.10: cadena de conexión con usuario </w:t>
      </w:r>
      <w:r>
        <w:rPr>
          <w:rFonts w:ascii="Consolas" w:cs="Consolas" w:eastAsia="Consolas" w:hAnsi="Consolas"/>
          <w:sz w:val="20"/>
          <w:szCs w:val="20"/>
        </w:rPr>
        <w:t xml:space="preserve">sa</w:t>
      </w:r>
      <w:r>
        <w:rPr>
          <w:rFonts w:ascii="Calibri" w:cs="Calibri" w:eastAsia="Calibri" w:hAnsi="Calibri"/>
        </w:rPr>
        <w:t xml:space="preserve"> y contraseña incrustados; L.16 y L.30: </w:t>
      </w:r>
      <w:r>
        <w:rPr>
          <w:rFonts w:ascii="Consolas" w:cs="Consolas" w:eastAsia="Consolas" w:hAnsi="Consolas"/>
          <w:sz w:val="20"/>
          <w:szCs w:val="20"/>
        </w:rPr>
        <w:t xml:space="preserve">SqlCommand</w:t>
      </w:r>
      <w:r>
        <w:rPr>
          <w:rFonts w:ascii="Calibri" w:cs="Calibri" w:eastAsia="Calibri" w:hAnsi="Calibri"/>
        </w:rPr>
        <w:t xml:space="preserve"> embebido.</w:t>
      </w:r>
    </w:p>
    <w:p>
      <w:pPr>
        <w:pStyle w:val="ListParagraph"/>
        <w:numPr>
          <w:ilvl w:val="0"/>
          <w:numId w:val="2"/>
        </w:numPr>
        <w:spacing w:after="70" w:line="276"/>
      </w:pPr>
      <w:r>
        <w:rPr>
          <w:rFonts w:ascii="Consolas" w:cs="Consolas" w:eastAsia="Consolas" w:hAnsi="Consolas"/>
          <w:sz w:val="20"/>
          <w:szCs w:val="20"/>
        </w:rPr>
        <w:t xml:space="preserve">NotificacionServicio.cs</w:t>
      </w:r>
      <w:r>
        <w:rPr>
          <w:rFonts w:ascii="Calibri" w:cs="Calibri" w:eastAsia="Calibri" w:hAnsi="Calibri"/>
        </w:rPr>
        <w:t xml:space="preserve">, L.10–11: servidor SMTP y clave de Twilio incrustados; L.14–15: </w:t>
      </w:r>
      <w:r>
        <w:rPr>
          <w:rFonts w:ascii="Consolas" w:cs="Consolas" w:eastAsia="Consolas" w:hAnsi="Consolas"/>
          <w:sz w:val="20"/>
          <w:szCs w:val="20"/>
        </w:rPr>
        <w:t xml:space="preserve">new SmtpClient</w:t>
      </w:r>
      <w:r>
        <w:rPr>
          <w:rFonts w:ascii="Calibri" w:cs="Calibri" w:eastAsia="Calibri" w:hAnsi="Calibri"/>
        </w:rPr>
        <w:t xml:space="preserve"> y </w:t>
      </w:r>
      <w:r>
        <w:rPr>
          <w:rFonts w:ascii="Consolas" w:cs="Consolas" w:eastAsia="Consolas" w:hAnsi="Consolas"/>
          <w:sz w:val="20"/>
          <w:szCs w:val="20"/>
        </w:rPr>
        <w:t xml:space="preserve">new MailMessage</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rPr>
        <w:t xml:space="preserve">Consecuencia: no es posible probar </w:t>
      </w:r>
      <w:r>
        <w:rPr>
          <w:rFonts w:ascii="Consolas" w:cs="Consolas" w:eastAsia="Consolas" w:hAnsi="Consolas"/>
          <w:sz w:val="20"/>
          <w:szCs w:val="20"/>
        </w:rPr>
        <w:t xml:space="preserve">AgendarCita</w:t>
      </w:r>
      <w:r>
        <w:rPr>
          <w:rFonts w:ascii="Calibri" w:cs="Calibri" w:eastAsia="Calibri" w:hAnsi="Calibri"/>
        </w:rPr>
        <w:t xml:space="preserve"> sin base de datos ni servidor de correo, y cambiar de proveedor obliga a modificar la lógica de negocio.</w:t>
      </w:r>
    </w:p>
    <w:p>
      <w:pPr>
        <w:pStyle w:val="Heading1"/>
        <w:keepNext/>
        <w:spacing w:after="160" w:before="360"/>
      </w:pPr>
      <w:r>
        <w:rPr>
          <w:rFonts w:ascii="Calibri" w:cs="Calibri" w:eastAsia="Calibri" w:hAnsi="Calibri"/>
          <w:b/>
          <w:bCs/>
          <w:color w:val="1F3864"/>
          <w:sz w:val="30"/>
          <w:szCs w:val="30"/>
        </w:rPr>
        <w:t xml:space="preserve">5. Hallazgos adicionales</w:t>
      </w:r>
    </w:p>
    <w:p>
      <w:pPr>
        <w:spacing w:after="120" w:line="276"/>
      </w:pPr>
      <w:r>
        <w:rPr>
          <w:rFonts w:ascii="Calibri" w:cs="Calibri" w:eastAsia="Calibri" w:hAnsi="Calibri"/>
        </w:rPr>
        <w:t xml:space="preserve">Los siguientes puntos no son violaciones SOLID en sentido estricto, pero afectan la calidad del legado y se tuvieron en cuenta en la refactorización y en los ADRs.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Hallazgo</w:t>
            </w:r>
          </w:p>
        </w:tc>
        <w:tc>
          <w:tcPr>
            <w:tcW w:type="dxa" w:w="6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Detalle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Secretos incrustados</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Contraseña de SQL Server (</w:t>
            </w:r>
            <w:r>
              <w:rPr>
                <w:rFonts w:ascii="Consolas" w:cs="Consolas" w:eastAsia="Consolas" w:hAnsi="Consolas"/>
                <w:sz w:val="17"/>
                <w:szCs w:val="17"/>
              </w:rPr>
              <w:t xml:space="preserve">SqlServerEjecutor.cs</w:t>
            </w:r>
            <w:r>
              <w:rPr>
                <w:rFonts w:ascii="Calibri" w:cs="Calibri" w:eastAsia="Calibri" w:hAnsi="Calibri"/>
                <w:b w:val="false"/>
                <w:bCs w:val="false"/>
                <w:sz w:val="19"/>
                <w:szCs w:val="19"/>
              </w:rPr>
              <w:t xml:space="preserve">, L.10) y clave de Twilio (</w:t>
            </w:r>
            <w:r>
              <w:rPr>
                <w:rFonts w:ascii="Consolas" w:cs="Consolas" w:eastAsia="Consolas" w:hAnsi="Consolas"/>
                <w:sz w:val="17"/>
                <w:szCs w:val="17"/>
              </w:rPr>
              <w:t xml:space="preserve">NotificacionServicio.cs</w:t>
            </w:r>
            <w:r>
              <w:rPr>
                <w:rFonts w:ascii="Calibri" w:cs="Calibri" w:eastAsia="Calibri" w:hAnsi="Calibri"/>
                <w:b w:val="false"/>
                <w:bCs w:val="false"/>
                <w:sz w:val="19"/>
                <w:szCs w:val="19"/>
              </w:rPr>
              <w:t xml:space="preserve">, L.11). Es un requisito de seguridad que condiciona la arquitectura de configuración.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Parámetro </w:t>
            </w:r>
            <w:r>
              <w:rPr>
                <w:rFonts w:ascii="Consolas" w:cs="Consolas" w:eastAsia="Consolas" w:hAnsi="Consolas"/>
                <w:sz w:val="17"/>
                <w:szCs w:val="17"/>
              </w:rPr>
              <w:t xml:space="preserve">mensaje</w:t>
            </w:r>
            <w:r>
              <w:rPr>
                <w:rFonts w:ascii="Calibri" w:cs="Calibri" w:eastAsia="Calibri" w:hAnsi="Calibri"/>
                <w:b w:val="false"/>
                <w:bCs w:val="false"/>
                <w:sz w:val="19"/>
                <w:szCs w:val="19"/>
              </w:rPr>
              <w:t xml:space="preserve"> ignorado</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EnviarEmailYSms(cita, mensaje)</w:t>
            </w:r>
            <w:r>
              <w:rPr>
                <w:rFonts w:ascii="Calibri" w:cs="Calibri" w:eastAsia="Calibri" w:hAnsi="Calibri"/>
                <w:b w:val="false"/>
                <w:bCs w:val="false"/>
                <w:sz w:val="19"/>
                <w:szCs w:val="19"/>
              </w:rPr>
              <w:t xml:space="preserve"> no usa </w:t>
            </w:r>
            <w:r>
              <w:rPr>
                <w:rFonts w:ascii="Consolas" w:cs="Consolas" w:eastAsia="Consolas" w:hAnsi="Consolas"/>
                <w:sz w:val="17"/>
                <w:szCs w:val="17"/>
              </w:rPr>
              <w:t xml:space="preserve">mensaje</w:t>
            </w:r>
            <w:r>
              <w:rPr>
                <w:rFonts w:ascii="Calibri" w:cs="Calibri" w:eastAsia="Calibri" w:hAnsi="Calibri"/>
                <w:b w:val="false"/>
                <w:bCs w:val="false"/>
                <w:sz w:val="19"/>
                <w:szCs w:val="19"/>
              </w:rPr>
              <w:t xml:space="preserve"> (L.12); el cuerpo está fijo en L.17. La notificación de cancelación (</w:t>
            </w:r>
            <w:r>
              <w:rPr>
                <w:rFonts w:ascii="Consolas" w:cs="Consolas" w:eastAsia="Consolas" w:hAnsi="Consolas"/>
                <w:sz w:val="17"/>
                <w:szCs w:val="17"/>
              </w:rPr>
              <w:t xml:space="preserve">GestorCitasOdontologicas.cs</w:t>
            </w:r>
            <w:r>
              <w:rPr>
                <w:rFonts w:ascii="Calibri" w:cs="Calibri" w:eastAsia="Calibri" w:hAnsi="Calibri"/>
                <w:b w:val="false"/>
                <w:bCs w:val="false"/>
                <w:sz w:val="19"/>
                <w:szCs w:val="19"/>
              </w:rPr>
              <w:t xml:space="preserve">, L.89) envía un correo que dice «cita programada».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using System.Data.SqlClient</w:t>
            </w:r>
            <w:r>
              <w:rPr>
                <w:rFonts w:ascii="Calibri" w:cs="Calibri" w:eastAsia="Calibri" w:hAnsi="Calibri"/>
                <w:b w:val="false"/>
                <w:bCs w:val="false"/>
                <w:sz w:val="19"/>
                <w:szCs w:val="19"/>
              </w:rPr>
              <w:t xml:space="preserve"> innecesario</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GestorCitasOdontologicas.cs</w:t>
            </w:r>
            <w:r>
              <w:rPr>
                <w:rFonts w:ascii="Calibri" w:cs="Calibri" w:eastAsia="Calibri" w:hAnsi="Calibri"/>
                <w:b w:val="false"/>
                <w:bCs w:val="false"/>
                <w:sz w:val="19"/>
                <w:szCs w:val="19"/>
              </w:rPr>
              <w:t xml:space="preserve">, L.1: la clase no usa SQL directamente, pero declara la dependencia.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Estado en memoria</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_totalRecaudadoMes</w:t>
            </w:r>
            <w:r>
              <w:rPr>
                <w:rFonts w:ascii="Calibri" w:cs="Calibri" w:eastAsia="Calibri" w:hAnsi="Calibri"/>
                <w:b w:val="false"/>
                <w:bCs w:val="false"/>
                <w:sz w:val="19"/>
                <w:szCs w:val="19"/>
              </w:rPr>
              <w:t xml:space="preserve"> y </w:t>
            </w:r>
            <w:r>
              <w:rPr>
                <w:rFonts w:ascii="Consolas" w:cs="Consolas" w:eastAsia="Consolas" w:hAnsi="Consolas"/>
                <w:sz w:val="17"/>
                <w:szCs w:val="17"/>
              </w:rPr>
              <w:t xml:space="preserve">_totalCitasCanceladas</w:t>
            </w:r>
            <w:r>
              <w:rPr>
                <w:rFonts w:ascii="Calibri" w:cs="Calibri" w:eastAsia="Calibri" w:hAnsi="Calibri"/>
                <w:b w:val="false"/>
                <w:bCs w:val="false"/>
                <w:sz w:val="19"/>
                <w:szCs w:val="19"/>
              </w:rPr>
              <w:t xml:space="preserve"> (L.9–10) se pierden al reiniciar, no son seguros ante concurrencia y el total recaudado no se reduce al cancelar.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Obsesión por primitivos</w:t>
            </w:r>
          </w:p>
        </w:tc>
        <w:tc>
          <w:tcPr>
            <w:tcW w:type="dxa" w:w="6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Especialidad, convenio y estado como </w:t>
            </w:r>
            <w:r>
              <w:rPr>
                <w:rFonts w:ascii="Consolas" w:cs="Consolas" w:eastAsia="Consolas" w:hAnsi="Consolas"/>
                <w:sz w:val="17"/>
                <w:szCs w:val="17"/>
              </w:rPr>
              <w:t xml:space="preserve">int</w:t>
            </w:r>
            <w:r>
              <w:rPr>
                <w:rFonts w:ascii="Calibri" w:cs="Calibri" w:eastAsia="Calibri" w:hAnsi="Calibri"/>
                <w:b w:val="false"/>
                <w:bCs w:val="false"/>
                <w:sz w:val="19"/>
                <w:szCs w:val="19"/>
              </w:rPr>
              <w:t xml:space="preserve"> o </w:t>
            </w:r>
            <w:r>
              <w:rPr>
                <w:rFonts w:ascii="Consolas" w:cs="Consolas" w:eastAsia="Consolas" w:hAnsi="Consolas"/>
                <w:sz w:val="17"/>
                <w:szCs w:val="17"/>
              </w:rPr>
              <w:t xml:space="preserve">string</w:t>
            </w:r>
            <w:r>
              <w:rPr>
                <w:rFonts w:ascii="Calibri" w:cs="Calibri" w:eastAsia="Calibri" w:hAnsi="Calibri"/>
                <w:b w:val="false"/>
                <w:bCs w:val="false"/>
                <w:sz w:val="19"/>
                <w:szCs w:val="19"/>
              </w:rPr>
              <w:t xml:space="preserve">; identificador de cita con </w:t>
            </w:r>
            <w:r>
              <w:rPr>
                <w:rFonts w:ascii="Consolas" w:cs="Consolas" w:eastAsia="Consolas" w:hAnsi="Consolas"/>
                <w:sz w:val="17"/>
                <w:szCs w:val="17"/>
              </w:rPr>
              <w:t xml:space="preserve">Guid.NewGuid().ToString().Substring(0, 8)</w:t>
            </w:r>
            <w:r>
              <w:rPr>
                <w:rFonts w:ascii="Calibri" w:cs="Calibri" w:eastAsia="Calibri" w:hAnsi="Calibri"/>
                <w:b w:val="false"/>
                <w:bCs w:val="false"/>
                <w:sz w:val="19"/>
                <w:szCs w:val="19"/>
              </w:rPr>
              <w:t xml:space="preserve"> (L.60), con riesgo de colisión.</w:t>
            </w:r>
          </w:p>
        </w:tc>
      </w:tr>
    </w:tbl>
    <w:p>
      <w:pPr>
        <w:pStyle w:val="Heading1"/>
        <w:keepNext/>
        <w:spacing w:after="160" w:before="360"/>
      </w:pPr>
      <w:r>
        <w:rPr>
          <w:rFonts w:ascii="Calibri" w:cs="Calibri" w:eastAsia="Calibri" w:hAnsi="Calibri"/>
          <w:b/>
          <w:bCs/>
          <w:color w:val="1F3864"/>
          <w:sz w:val="30"/>
          <w:szCs w:val="30"/>
        </w:rPr>
        <w:t xml:space="preserve">6. Fase 1 — Línea base cuantitativa</w:t>
      </w:r>
    </w:p>
    <w:p>
      <w:pPr>
        <w:spacing w:after="120" w:line="276"/>
      </w:pPr>
      <w:r>
        <w:rPr>
          <w:rFonts w:ascii="Calibri" w:cs="Calibri" w:eastAsia="Calibri" w:hAnsi="Calibri"/>
        </w:rPr>
        <w:t xml:space="preserve">El componente medido es la clase </w:t>
      </w:r>
      <w:r>
        <w:rPr>
          <w:rFonts w:ascii="Consolas" w:cs="Consolas" w:eastAsia="Consolas" w:hAnsi="Consolas"/>
          <w:sz w:val="20"/>
          <w:szCs w:val="20"/>
        </w:rPr>
        <w:t xml:space="preserve">GestorCitasOdontologicas</w:t>
      </w:r>
      <w:r>
        <w:rPr>
          <w:rFonts w:ascii="Calibri" w:cs="Calibri" w:eastAsia="Calibri" w:hAnsi="Calibri"/>
        </w:rPr>
        <w:t xml:space="preserve">, como lo pide la práctica. Se incluye una tabla complementaria con los demás tipos de la solución para contextualizar los resultados.</w:t>
      </w:r>
    </w:p>
    <w:p>
      <w:pPr>
        <w:pStyle w:val="Heading2"/>
        <w:keepNext/>
        <w:spacing w:after="120" w:before="240"/>
      </w:pPr>
      <w:r>
        <w:rPr>
          <w:rFonts w:ascii="Calibri" w:cs="Calibri" w:eastAsia="Calibri" w:hAnsi="Calibri"/>
          <w:b/>
          <w:bCs/>
          <w:color w:val="1F3864"/>
          <w:sz w:val="25"/>
          <w:szCs w:val="25"/>
        </w:rPr>
        <w:t xml:space="preserve">6.1. Criterios de medición</w:t>
      </w:r>
    </w:p>
    <w:p>
      <w:pPr>
        <w:pStyle w:val="ListParagraph"/>
        <w:numPr>
          <w:ilvl w:val="0"/>
          <w:numId w:val="2"/>
        </w:numPr>
        <w:spacing w:after="70" w:line="276"/>
      </w:pPr>
      <w:r>
        <w:rPr>
          <w:rFonts w:ascii="Calibri" w:cs="Calibri" w:eastAsia="Calibri" w:hAnsi="Calibri"/>
          <w:b/>
          <w:bCs/>
        </w:rPr>
        <w:t xml:space="preserve">Métodos (m):</w:t>
      </w:r>
      <w:r>
        <w:rPr>
          <w:rFonts w:ascii="Calibri" w:cs="Calibri" w:eastAsia="Calibri" w:hAnsi="Calibri"/>
        </w:rPr>
        <w:t xml:space="preserve"> métodos de instancia declarados en la clase, incluidos los de cuerpo de expresión y excluido el constructor implícito. m = 4: </w:t>
      </w:r>
      <w:r>
        <w:rPr>
          <w:rFonts w:ascii="Consolas" w:cs="Consolas" w:eastAsia="Consolas" w:hAnsi="Consolas"/>
          <w:sz w:val="20"/>
          <w:szCs w:val="20"/>
        </w:rPr>
        <w:t xml:space="preserve">AgendarCita</w:t>
      </w:r>
      <w:r>
        <w:rPr>
          <w:rFonts w:ascii="Calibri" w:cs="Calibri" w:eastAsia="Calibri" w:hAnsi="Calibri"/>
        </w:rPr>
        <w:t xml:space="preserve">, </w:t>
      </w:r>
      <w:r>
        <w:rPr>
          <w:rFonts w:ascii="Consolas" w:cs="Consolas" w:eastAsia="Consolas" w:hAnsi="Consolas"/>
          <w:sz w:val="20"/>
          <w:szCs w:val="20"/>
        </w:rPr>
        <w:t xml:space="preserve">CancelarCita</w:t>
      </w:r>
      <w:r>
        <w:rPr>
          <w:rFonts w:ascii="Calibri" w:cs="Calibri" w:eastAsia="Calibri" w:hAnsi="Calibri"/>
        </w:rPr>
        <w:t xml:space="preserve">, </w:t>
      </w:r>
      <w:r>
        <w:rPr>
          <w:rFonts w:ascii="Consolas" w:cs="Consolas" w:eastAsia="Consolas" w:hAnsi="Consolas"/>
          <w:sz w:val="20"/>
          <w:szCs w:val="20"/>
        </w:rPr>
        <w:t xml:space="preserve">ObtenerTotalRecaudado</w:t>
      </w:r>
      <w:r>
        <w:rPr>
          <w:rFonts w:ascii="Calibri" w:cs="Calibri" w:eastAsia="Calibri" w:hAnsi="Calibri"/>
        </w:rPr>
        <w:t xml:space="preserve"> y </w:t>
      </w:r>
      <w:r>
        <w:rPr>
          <w:rFonts w:ascii="Consolas" w:cs="Consolas" w:eastAsia="Consolas" w:hAnsi="Consolas"/>
          <w:sz w:val="20"/>
          <w:szCs w:val="20"/>
        </w:rPr>
        <w:t xml:space="preserve">ObtenerTotalCanceladas</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b/>
          <w:bCs/>
        </w:rPr>
        <w:t xml:space="preserve">Atributos (a):</w:t>
      </w:r>
      <w:r>
        <w:rPr>
          <w:rFonts w:ascii="Calibri" w:cs="Calibri" w:eastAsia="Calibri" w:hAnsi="Calibri"/>
        </w:rPr>
        <w:t xml:space="preserve"> campos de instancia. a = 4: </w:t>
      </w:r>
      <w:r>
        <w:rPr>
          <w:rFonts w:ascii="Consolas" w:cs="Consolas" w:eastAsia="Consolas" w:hAnsi="Consolas"/>
          <w:sz w:val="20"/>
          <w:szCs w:val="20"/>
        </w:rPr>
        <w:t xml:space="preserve">_db</w:t>
      </w:r>
      <w:r>
        <w:rPr>
          <w:rFonts w:ascii="Calibri" w:cs="Calibri" w:eastAsia="Calibri" w:hAnsi="Calibri"/>
        </w:rPr>
        <w:t xml:space="preserve">, </w:t>
      </w:r>
      <w:r>
        <w:rPr>
          <w:rFonts w:ascii="Consolas" w:cs="Consolas" w:eastAsia="Consolas" w:hAnsi="Consolas"/>
          <w:sz w:val="20"/>
          <w:szCs w:val="20"/>
        </w:rPr>
        <w:t xml:space="preserve">_notificador</w:t>
      </w:r>
      <w:r>
        <w:rPr>
          <w:rFonts w:ascii="Calibri" w:cs="Calibri" w:eastAsia="Calibri" w:hAnsi="Calibri"/>
        </w:rPr>
        <w:t xml:space="preserve">, </w:t>
      </w:r>
      <w:r>
        <w:rPr>
          <w:rFonts w:ascii="Consolas" w:cs="Consolas" w:eastAsia="Consolas" w:hAnsi="Consolas"/>
          <w:sz w:val="20"/>
          <w:szCs w:val="20"/>
        </w:rPr>
        <w:t xml:space="preserve">_totalRecaudadoMes</w:t>
      </w:r>
      <w:r>
        <w:rPr>
          <w:rFonts w:ascii="Calibri" w:cs="Calibri" w:eastAsia="Calibri" w:hAnsi="Calibri"/>
        </w:rPr>
        <w:t xml:space="preserve"> y </w:t>
      </w:r>
      <w:r>
        <w:rPr>
          <w:rFonts w:ascii="Consolas" w:cs="Consolas" w:eastAsia="Consolas" w:hAnsi="Consolas"/>
          <w:sz w:val="20"/>
          <w:szCs w:val="20"/>
        </w:rPr>
        <w:t xml:space="preserve">_totalCitasCanceladas</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b/>
          <w:bCs/>
        </w:rPr>
        <w:t xml:space="preserve">Ca y Ce:</w:t>
      </w:r>
      <w:r>
        <w:rPr>
          <w:rFonts w:ascii="Calibri" w:cs="Calibri" w:eastAsia="Calibri" w:hAnsi="Calibri"/>
        </w:rPr>
        <w:t xml:space="preserve"> se cuentan los tipos definidos dentro de la solución. Los tipos del framework (</w:t>
      </w:r>
      <w:r>
        <w:rPr>
          <w:rFonts w:ascii="Consolas" w:cs="Consolas" w:eastAsia="Consolas" w:hAnsi="Consolas"/>
          <w:sz w:val="20"/>
          <w:szCs w:val="20"/>
        </w:rPr>
        <w:t xml:space="preserve">Exception</w:t>
      </w:r>
      <w:r>
        <w:rPr>
          <w:rFonts w:ascii="Calibri" w:cs="Calibri" w:eastAsia="Calibri" w:hAnsi="Calibri"/>
        </w:rPr>
        <w:t xml:space="preserve">, </w:t>
      </w:r>
      <w:r>
        <w:rPr>
          <w:rFonts w:ascii="Consolas" w:cs="Consolas" w:eastAsia="Consolas" w:hAnsi="Consolas"/>
          <w:sz w:val="20"/>
          <w:szCs w:val="20"/>
        </w:rPr>
        <w:t xml:space="preserve">DateTime</w:t>
      </w:r>
      <w:r>
        <w:rPr>
          <w:rFonts w:ascii="Calibri" w:cs="Calibri" w:eastAsia="Calibri" w:hAnsi="Calibri"/>
        </w:rPr>
        <w:t xml:space="preserve">, </w:t>
      </w:r>
      <w:r>
        <w:rPr>
          <w:rFonts w:ascii="Consolas" w:cs="Consolas" w:eastAsia="Consolas" w:hAnsi="Consolas"/>
          <w:sz w:val="20"/>
          <w:szCs w:val="20"/>
        </w:rPr>
        <w:t xml:space="preserve">TimeSpan</w:t>
      </w:r>
      <w:r>
        <w:rPr>
          <w:rFonts w:ascii="Calibri" w:cs="Calibri" w:eastAsia="Calibri" w:hAnsi="Calibri"/>
        </w:rPr>
        <w:t xml:space="preserve">, </w:t>
      </w:r>
      <w:r>
        <w:rPr>
          <w:rFonts w:ascii="Consolas" w:cs="Consolas" w:eastAsia="Consolas" w:hAnsi="Consolas"/>
          <w:sz w:val="20"/>
          <w:szCs w:val="20"/>
        </w:rPr>
        <w:t xml:space="preserve">Guid</w:t>
      </w:r>
      <w:r>
        <w:rPr>
          <w:rFonts w:ascii="Calibri" w:cs="Calibri" w:eastAsia="Calibri" w:hAnsi="Calibri"/>
        </w:rPr>
        <w:t xml:space="preserve">) se excluyen y se reportan como análisis de sensibilidad.</w:t>
      </w:r>
    </w:p>
    <w:p>
      <w:pPr>
        <w:pStyle w:val="ListParagraph"/>
        <w:numPr>
          <w:ilvl w:val="0"/>
          <w:numId w:val="2"/>
        </w:numPr>
        <w:spacing w:after="70" w:line="276"/>
      </w:pPr>
      <w:r>
        <w:rPr>
          <w:rFonts w:ascii="Calibri" w:cs="Calibri" w:eastAsia="Calibri" w:hAnsi="Calibri"/>
          <w:b/>
          <w:bCs/>
        </w:rPr>
        <w:t xml:space="preserve">A:</w:t>
      </w:r>
      <w:r>
        <w:rPr>
          <w:rFonts w:ascii="Calibri" w:cs="Calibri" w:eastAsia="Calibri" w:hAnsi="Calibri"/>
        </w:rPr>
        <w:t xml:space="preserve"> proporción de elementos abstractos (interfaces y clases abstractas) sobre el total de elementos del componente, como en el material de clase. Como complemento se reporta la proporción por miembros.</w:t>
      </w:r>
    </w:p>
    <w:p>
      <w:pPr>
        <w:pStyle w:val="Heading2"/>
        <w:keepNext/>
        <w:spacing w:after="120" w:before="240"/>
      </w:pPr>
      <w:r>
        <w:rPr>
          <w:rFonts w:ascii="Calibri" w:cs="Calibri" w:eastAsia="Calibri" w:hAnsi="Calibri"/>
          <w:b/>
          <w:bCs/>
          <w:color w:val="1F3864"/>
          <w:sz w:val="25"/>
          <w:szCs w:val="25"/>
        </w:rPr>
        <w:t xml:space="preserve">6.2. LCOM96b</w:t>
      </w:r>
    </w:p>
    <w:p>
      <w:pPr>
        <w:shd w:fill="F2F2F2" w:color="auto" w:val="clear"/>
        <w:spacing w:after="0" w:line="252"/>
        <w:ind w:left="120" w:right="120"/>
      </w:pPr>
      <w:r>
        <w:rPr>
          <w:rFonts w:ascii="Consolas" w:cs="Consolas" w:eastAsia="Consolas" w:hAnsi="Consolas"/>
          <w:sz w:val="18"/>
          <w:szCs w:val="18"/>
        </w:rPr>
        <w:t xml:space="preserve">LCOM96b = (1 / a) × Σ [ (m − μ(Aj)) / m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60"/>
        <w:gridCol w:w="900"/>
        <w:gridCol w:w="23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Atributo (Aj)</w:t>
            </w:r>
          </w:p>
        </w:tc>
        <w:tc>
          <w:tcPr>
            <w:tcW w:type="dxa" w:w="3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Métodos que lo acceden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μ(Aj)</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 − μ) / 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_db</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AgendarCita</w:t>
            </w:r>
            <w:r>
              <w:rPr>
                <w:rFonts w:ascii="Calibri" w:cs="Calibri" w:eastAsia="Calibri" w:hAnsi="Calibri"/>
                <w:b w:val="false"/>
                <w:bCs w:val="false"/>
                <w:sz w:val="19"/>
                <w:szCs w:val="19"/>
              </w:rPr>
              <w:t xml:space="preserve"> (L.68), </w:t>
            </w:r>
            <w:r>
              <w:rPr>
                <w:rFonts w:ascii="Consolas" w:cs="Consolas" w:eastAsia="Consolas" w:hAnsi="Consolas"/>
                <w:sz w:val="17"/>
                <w:szCs w:val="17"/>
              </w:rPr>
              <w:t xml:space="preserve">CancelarCita</w:t>
            </w:r>
            <w:r>
              <w:rPr>
                <w:rFonts w:ascii="Calibri" w:cs="Calibri" w:eastAsia="Calibri" w:hAnsi="Calibri"/>
                <w:b w:val="false"/>
                <w:bCs w:val="false"/>
                <w:sz w:val="19"/>
                <w:szCs w:val="19"/>
              </w:rPr>
              <w:t xml:space="preserve"> (L.88)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(4 − 2) / 4 = 0,50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_notificador</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AgendarCita</w:t>
            </w:r>
            <w:r>
              <w:rPr>
                <w:rFonts w:ascii="Calibri" w:cs="Calibri" w:eastAsia="Calibri" w:hAnsi="Calibri"/>
                <w:b w:val="false"/>
                <w:bCs w:val="false"/>
                <w:sz w:val="19"/>
                <w:szCs w:val="19"/>
              </w:rPr>
              <w:t xml:space="preserve"> (L.69), </w:t>
            </w:r>
            <w:r>
              <w:rPr>
                <w:rFonts w:ascii="Consolas" w:cs="Consolas" w:eastAsia="Consolas" w:hAnsi="Consolas"/>
                <w:sz w:val="17"/>
                <w:szCs w:val="17"/>
              </w:rPr>
              <w:t xml:space="preserve">CancelarCita</w:t>
            </w:r>
            <w:r>
              <w:rPr>
                <w:rFonts w:ascii="Calibri" w:cs="Calibri" w:eastAsia="Calibri" w:hAnsi="Calibri"/>
                <w:b w:val="false"/>
                <w:bCs w:val="false"/>
                <w:sz w:val="19"/>
                <w:szCs w:val="19"/>
              </w:rPr>
              <w:t xml:space="preserve"> (L.89)</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(4 − 2) / 4 = 0,50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_totalRecaudadoMes</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AgendarCita</w:t>
            </w:r>
            <w:r>
              <w:rPr>
                <w:rFonts w:ascii="Calibri" w:cs="Calibri" w:eastAsia="Calibri" w:hAnsi="Calibri"/>
                <w:b w:val="false"/>
                <w:bCs w:val="false"/>
                <w:sz w:val="19"/>
                <w:szCs w:val="19"/>
              </w:rPr>
              <w:t xml:space="preserve"> (L.71), </w:t>
            </w:r>
            <w:r>
              <w:rPr>
                <w:rFonts w:ascii="Consolas" w:cs="Consolas" w:eastAsia="Consolas" w:hAnsi="Consolas"/>
                <w:sz w:val="17"/>
                <w:szCs w:val="17"/>
              </w:rPr>
              <w:t xml:space="preserve">ObtenerTotalRecaudado</w:t>
            </w:r>
            <w:r>
              <w:rPr>
                <w:rFonts w:ascii="Calibri" w:cs="Calibri" w:eastAsia="Calibri" w:hAnsi="Calibri"/>
                <w:b w:val="false"/>
                <w:bCs w:val="false"/>
                <w:sz w:val="19"/>
                <w:szCs w:val="19"/>
              </w:rPr>
              <w:t xml:space="preserve"> (L.95)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(4 − 2) / 4 = 0,50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_totalCitasCanceladas</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CancelarCita</w:t>
            </w:r>
            <w:r>
              <w:rPr>
                <w:rFonts w:ascii="Calibri" w:cs="Calibri" w:eastAsia="Calibri" w:hAnsi="Calibri"/>
                <w:b w:val="false"/>
                <w:bCs w:val="false"/>
                <w:sz w:val="19"/>
                <w:szCs w:val="19"/>
              </w:rPr>
              <w:t xml:space="preserve"> (L.91), </w:t>
            </w:r>
            <w:r>
              <w:rPr>
                <w:rFonts w:ascii="Consolas" w:cs="Consolas" w:eastAsia="Consolas" w:hAnsi="Consolas"/>
                <w:sz w:val="17"/>
                <w:szCs w:val="17"/>
              </w:rPr>
              <w:t xml:space="preserve">ObtenerTotalCanceladas</w:t>
            </w:r>
            <w:r>
              <w:rPr>
                <w:rFonts w:ascii="Calibri" w:cs="Calibri" w:eastAsia="Calibri" w:hAnsi="Calibri"/>
                <w:b w:val="false"/>
                <w:bCs w:val="false"/>
                <w:sz w:val="19"/>
                <w:szCs w:val="19"/>
              </w:rPr>
              <w:t xml:space="preserve"> (L.97)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(4 − 2) / 4 = 0,50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Σ</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2,00</w:t>
            </w:r>
          </w:p>
        </w:tc>
      </w:tr>
    </w:tbl>
    <w:p>
      <w:pPr>
        <w:spacing w:after="120"/>
      </w:pPr>
    </w:p>
    <w:p>
      <w:pPr>
        <w:shd w:fill="F2F2F2" w:color="auto" w:val="clear"/>
        <w:spacing w:after="0" w:line="252"/>
        <w:ind w:left="120" w:right="120"/>
      </w:pPr>
      <w:r>
        <w:rPr>
          <w:rFonts w:ascii="Consolas" w:cs="Consolas" w:eastAsia="Consolas" w:hAnsi="Consolas"/>
          <w:sz w:val="18"/>
          <w:szCs w:val="18"/>
        </w:rPr>
        <w:t xml:space="preserve">LCOM96b = (1 / 4) × 2,00 = 0,50</w:t>
      </w:r>
    </w:p>
    <w:p>
      <w:pPr>
        <w:spacing w:after="120"/>
      </w:pPr>
    </w:p>
    <w:p>
      <w:pPr>
        <w:spacing w:after="120" w:line="276"/>
      </w:pPr>
      <w:r>
        <w:rPr>
          <w:rFonts w:ascii="Calibri" w:cs="Calibri" w:eastAsia="Calibri" w:hAnsi="Calibri"/>
          <w:b/>
          <w:bCs/>
        </w:rPr>
        <w:t xml:space="preserve">Interpretación.</w:t>
      </w:r>
      <w:r>
        <w:rPr>
          <w:rFonts w:ascii="Calibri" w:cs="Calibri" w:eastAsia="Calibri" w:hAnsi="Calibri"/>
        </w:rPr>
        <w:t xml:space="preserve"> El valor 0,50 indica una cohesión intermedia: los métodos forman dos grupos, {</w:t>
      </w:r>
      <w:r>
        <w:rPr>
          <w:rFonts w:ascii="Consolas" w:cs="Consolas" w:eastAsia="Consolas" w:hAnsi="Consolas"/>
          <w:sz w:val="20"/>
          <w:szCs w:val="20"/>
        </w:rPr>
        <w:t xml:space="preserve">AgendarCita</w:t>
      </w:r>
      <w:r>
        <w:rPr>
          <w:rFonts w:ascii="Calibri" w:cs="Calibri" w:eastAsia="Calibri" w:hAnsi="Calibri"/>
        </w:rPr>
        <w:t xml:space="preserve">, </w:t>
      </w:r>
      <w:r>
        <w:rPr>
          <w:rFonts w:ascii="Consolas" w:cs="Consolas" w:eastAsia="Consolas" w:hAnsi="Consolas"/>
          <w:sz w:val="20"/>
          <w:szCs w:val="20"/>
        </w:rPr>
        <w:t xml:space="preserve">ObtenerTotalRecaudado</w:t>
      </w:r>
      <w:r>
        <w:rPr>
          <w:rFonts w:ascii="Calibri" w:cs="Calibri" w:eastAsia="Calibri" w:hAnsi="Calibri"/>
        </w:rPr>
        <w:t xml:space="preserve">} y {</w:t>
      </w:r>
      <w:r>
        <w:rPr>
          <w:rFonts w:ascii="Consolas" w:cs="Consolas" w:eastAsia="Consolas" w:hAnsi="Consolas"/>
          <w:sz w:val="20"/>
          <w:szCs w:val="20"/>
        </w:rPr>
        <w:t xml:space="preserve">CancelarCita</w:t>
      </w:r>
      <w:r>
        <w:rPr>
          <w:rFonts w:ascii="Calibri" w:cs="Calibri" w:eastAsia="Calibri" w:hAnsi="Calibri"/>
        </w:rPr>
        <w:t xml:space="preserve">, </w:t>
      </w:r>
      <w:r>
        <w:rPr>
          <w:rFonts w:ascii="Consolas" w:cs="Consolas" w:eastAsia="Consolas" w:hAnsi="Consolas"/>
          <w:sz w:val="20"/>
          <w:szCs w:val="20"/>
        </w:rPr>
        <w:t xml:space="preserve">ObtenerTotalCanceladas</w:t>
      </w:r>
      <w:r>
        <w:rPr>
          <w:rFonts w:ascii="Calibri" w:cs="Calibri" w:eastAsia="Calibri" w:hAnsi="Calibri"/>
        </w:rPr>
        <w:t xml:space="preserve">}, unidos solo por los dos campos de infraestructura (</w:t>
      </w:r>
      <w:r>
        <w:rPr>
          <w:rFonts w:ascii="Consolas" w:cs="Consolas" w:eastAsia="Consolas" w:hAnsi="Consolas"/>
          <w:sz w:val="20"/>
          <w:szCs w:val="20"/>
        </w:rPr>
        <w:t xml:space="preserve">_db</w:t>
      </w:r>
      <w:r>
        <w:rPr>
          <w:rFonts w:ascii="Calibri" w:cs="Calibri" w:eastAsia="Calibri" w:hAnsi="Calibri"/>
        </w:rPr>
        <w:t xml:space="preserve"> y </w:t>
      </w:r>
      <w:r>
        <w:rPr>
          <w:rFonts w:ascii="Consolas" w:cs="Consolas" w:eastAsia="Consolas" w:hAnsi="Consolas"/>
          <w:sz w:val="20"/>
          <w:szCs w:val="20"/>
        </w:rPr>
        <w:t xml:space="preserve">_notificador</w:t>
      </w:r>
      <w:r>
        <w:rPr>
          <w:rFonts w:ascii="Calibri" w:cs="Calibri" w:eastAsia="Calibri" w:hAnsi="Calibri"/>
        </w:rPr>
        <w:t xml:space="preserve">).</w:t>
      </w:r>
    </w:p>
    <w:p>
      <w:pPr>
        <w:spacing w:after="120" w:line="276"/>
      </w:pPr>
      <w:r>
        <w:rPr>
          <w:rFonts w:ascii="Calibri" w:cs="Calibri" w:eastAsia="Calibri" w:hAnsi="Calibri"/>
        </w:rPr>
        <w:t xml:space="preserve">LCOM96b únicamente observa cómo se reparten los atributos entre los métodos. En esta clase la mezcla de responsabilidades ocurre dentro de </w:t>
      </w:r>
      <w:r>
        <w:rPr>
          <w:rFonts w:ascii="Consolas" w:cs="Consolas" w:eastAsia="Consolas" w:hAnsi="Consolas"/>
          <w:sz w:val="20"/>
          <w:szCs w:val="20"/>
        </w:rPr>
        <w:t xml:space="preserve">AgendarCita</w:t>
      </w:r>
      <w:r>
        <w:rPr>
          <w:rFonts w:ascii="Calibri" w:cs="Calibri" w:eastAsia="Calibri" w:hAnsi="Calibri"/>
        </w:rPr>
        <w:t xml:space="preserve"> (validación, tarifas, creación, persistencia y notificación), de modo que la métrica subestima el problema. Por eso el diagnóstico se apoya además en Ce y en la complejidad ciclomática (6.8).</w:t>
      </w:r>
    </w:p>
    <w:p>
      <w:pPr>
        <w:pStyle w:val="Heading2"/>
        <w:keepNext/>
        <w:spacing w:after="120" w:before="240"/>
      </w:pPr>
      <w:r>
        <w:rPr>
          <w:rFonts w:ascii="Calibri" w:cs="Calibri" w:eastAsia="Calibri" w:hAnsi="Calibri"/>
          <w:b/>
          <w:bCs/>
          <w:color w:val="1F3864"/>
          <w:sz w:val="25"/>
          <w:szCs w:val="25"/>
        </w:rPr>
        <w:t xml:space="preserve">6.3. Acoplamiento aferente (Ca) y eferente (Ce)</w:t>
      </w:r>
    </w:p>
    <w:p>
      <w:pPr>
        <w:spacing w:after="120" w:line="276"/>
      </w:pPr>
      <w:r>
        <w:rPr>
          <w:rFonts w:ascii="Calibri" w:cs="Calibri" w:eastAsia="Calibri" w:hAnsi="Calibri"/>
          <w:b/>
          <w:bCs/>
        </w:rPr>
        <w:t xml:space="preserve">Ca = 1.</w:t>
      </w:r>
      <w:r>
        <w:rPr>
          <w:rFonts w:ascii="Calibri" w:cs="Calibri" w:eastAsia="Calibri" w:hAnsi="Calibri"/>
        </w:rPr>
        <w:t xml:space="preserve"> Componentes que dependen de </w:t>
      </w:r>
      <w:r>
        <w:rPr>
          <w:rFonts w:ascii="Consolas" w:cs="Consolas" w:eastAsia="Consolas" w:hAnsi="Consolas"/>
          <w:sz w:val="20"/>
          <w:szCs w:val="20"/>
        </w:rPr>
        <w:t xml:space="preserve">GestorCitasOdontologicas</w:t>
      </w:r>
      <w:r>
        <w:rPr>
          <w:rFonts w:ascii="Calibri" w:cs="Calibri" w:eastAsia="Calibri" w:hAnsi="Calibri"/>
        </w:rPr>
        <w:t xml:space="preserve">:</w:t>
      </w:r>
    </w:p>
    <w:p>
      <w:pPr>
        <w:pStyle w:val="ListParagraph"/>
        <w:numPr>
          <w:ilvl w:val="0"/>
          <w:numId w:val="2"/>
        </w:numPr>
        <w:spacing w:after="70" w:line="276"/>
      </w:pPr>
      <w:r>
        <w:rPr>
          <w:rFonts w:ascii="Consolas" w:cs="Consolas" w:eastAsia="Consolas" w:hAnsi="Consolas"/>
          <w:sz w:val="20"/>
          <w:szCs w:val="20"/>
        </w:rPr>
        <w:t xml:space="preserve">Program.cs</w:t>
      </w:r>
      <w:r>
        <w:rPr>
          <w:rFonts w:ascii="Calibri" w:cs="Calibri" w:eastAsia="Calibri" w:hAnsi="Calibri"/>
        </w:rPr>
        <w:t xml:space="preserve">: crea el gestor con </w:t>
      </w:r>
      <w:r>
        <w:rPr>
          <w:rFonts w:ascii="Consolas" w:cs="Consolas" w:eastAsia="Consolas" w:hAnsi="Consolas"/>
          <w:sz w:val="20"/>
          <w:szCs w:val="20"/>
        </w:rPr>
        <w:t xml:space="preserve">new</w:t>
      </w:r>
      <w:r>
        <w:rPr>
          <w:rFonts w:ascii="Calibri" w:cs="Calibri" w:eastAsia="Calibri" w:hAnsi="Calibri"/>
        </w:rPr>
        <w:t xml:space="preserve"> (L.8) y llama a </w:t>
      </w:r>
      <w:r>
        <w:rPr>
          <w:rFonts w:ascii="Consolas" w:cs="Consolas" w:eastAsia="Consolas" w:hAnsi="Consolas"/>
          <w:sz w:val="20"/>
          <w:szCs w:val="20"/>
        </w:rPr>
        <w:t xml:space="preserve">AgendarCita</w:t>
      </w:r>
      <w:r>
        <w:rPr>
          <w:rFonts w:ascii="Calibri" w:cs="Calibri" w:eastAsia="Calibri" w:hAnsi="Calibri"/>
        </w:rPr>
        <w:t xml:space="preserve">, </w:t>
      </w:r>
      <w:r>
        <w:rPr>
          <w:rFonts w:ascii="Consolas" w:cs="Consolas" w:eastAsia="Consolas" w:hAnsi="Consolas"/>
          <w:sz w:val="20"/>
          <w:szCs w:val="20"/>
        </w:rPr>
        <w:t xml:space="preserve">CancelarCita</w:t>
      </w:r>
      <w:r>
        <w:rPr>
          <w:rFonts w:ascii="Calibri" w:cs="Calibri" w:eastAsia="Calibri" w:hAnsi="Calibri"/>
        </w:rPr>
        <w:t xml:space="preserve">, </w:t>
      </w:r>
      <w:r>
        <w:rPr>
          <w:rFonts w:ascii="Consolas" w:cs="Consolas" w:eastAsia="Consolas" w:hAnsi="Consolas"/>
          <w:sz w:val="20"/>
          <w:szCs w:val="20"/>
        </w:rPr>
        <w:t xml:space="preserve">ObtenerTotalRecaudado</w:t>
      </w:r>
      <w:r>
        <w:rPr>
          <w:rFonts w:ascii="Calibri" w:cs="Calibri" w:eastAsia="Calibri" w:hAnsi="Calibri"/>
        </w:rPr>
        <w:t xml:space="preserve"> y </w:t>
      </w:r>
      <w:r>
        <w:rPr>
          <w:rFonts w:ascii="Consolas" w:cs="Consolas" w:eastAsia="Consolas" w:hAnsi="Consolas"/>
          <w:sz w:val="20"/>
          <w:szCs w:val="20"/>
        </w:rPr>
        <w:t xml:space="preserve">ObtenerTotalCanceladas</w:t>
      </w:r>
      <w:r>
        <w:rPr>
          <w:rFonts w:ascii="Calibri" w:cs="Calibri" w:eastAsia="Calibri" w:hAnsi="Calibri"/>
        </w:rPr>
        <w:t xml:space="preserve">.</w:t>
      </w:r>
    </w:p>
    <w:p>
      <w:pPr>
        <w:keepNext/>
        <w:spacing w:after="120" w:line="276"/>
      </w:pPr>
      <w:r>
        <w:rPr>
          <w:rFonts w:ascii="Calibri" w:cs="Calibri" w:eastAsia="Calibri" w:hAnsi="Calibri"/>
          <w:b/>
          <w:bCs/>
        </w:rPr>
        <w:t xml:space="preserve">Ce = 5.</w:t>
      </w:r>
      <w:r>
        <w:rPr>
          <w:rFonts w:ascii="Calibri" w:cs="Calibri" w:eastAsia="Calibri" w:hAnsi="Calibri"/>
        </w:rPr>
        <w:t xml:space="preserve"> Componentes de los que depende </w:t>
      </w:r>
      <w:r>
        <w:rPr>
          <w:rFonts w:ascii="Consolas" w:cs="Consolas" w:eastAsia="Consolas" w:hAnsi="Consolas"/>
          <w:sz w:val="20"/>
          <w:szCs w:val="20"/>
        </w:rPr>
        <w:t xml:space="preserve">GestorCitasOdontologicas</w:t>
      </w:r>
      <w:r>
        <w:rPr>
          <w:rFonts w:ascii="Calibri" w:cs="Calibri" w:eastAsia="Calibri" w:hAnsi="Calibri"/>
        </w:rPr>
        <w:t xml:space="preserve">:</w:t>
      </w:r>
    </w:p>
    <w:p>
      <w:pPr>
        <w:pStyle w:val="ListParagraph"/>
        <w:numPr>
          <w:ilvl w:val="0"/>
          <w:numId w:val="2"/>
        </w:numPr>
        <w:spacing w:after="70" w:line="276"/>
      </w:pPr>
      <w:r>
        <w:rPr>
          <w:rFonts w:ascii="Consolas" w:cs="Consolas" w:eastAsia="Consolas" w:hAnsi="Consolas"/>
          <w:sz w:val="20"/>
          <w:szCs w:val="20"/>
        </w:rPr>
        <w:t xml:space="preserve">SqlServerEjecutor</w:t>
      </w:r>
      <w:r>
        <w:rPr>
          <w:rFonts w:ascii="Calibri" w:cs="Calibri" w:eastAsia="Calibri" w:hAnsi="Calibri"/>
        </w:rPr>
        <w:t xml:space="preserve"> (L.7).</w:t>
      </w:r>
    </w:p>
    <w:p>
      <w:pPr>
        <w:pStyle w:val="ListParagraph"/>
        <w:numPr>
          <w:ilvl w:val="0"/>
          <w:numId w:val="2"/>
        </w:numPr>
        <w:spacing w:after="70" w:line="276"/>
      </w:pPr>
      <w:r>
        <w:rPr>
          <w:rFonts w:ascii="Consolas" w:cs="Consolas" w:eastAsia="Consolas" w:hAnsi="Consolas"/>
          <w:sz w:val="20"/>
          <w:szCs w:val="20"/>
        </w:rPr>
        <w:t xml:space="preserve">NotificacionServicio</w:t>
      </w:r>
      <w:r>
        <w:rPr>
          <w:rFonts w:ascii="Calibri" w:cs="Calibri" w:eastAsia="Calibri" w:hAnsi="Calibri"/>
        </w:rPr>
        <w:t xml:space="preserve"> (L.8).</w:t>
      </w:r>
    </w:p>
    <w:p>
      <w:pPr>
        <w:pStyle w:val="ListParagraph"/>
        <w:numPr>
          <w:ilvl w:val="0"/>
          <w:numId w:val="2"/>
        </w:numPr>
        <w:spacing w:after="70" w:line="276"/>
      </w:pPr>
      <w:r>
        <w:rPr>
          <w:rFonts w:ascii="Consolas" w:cs="Consolas" w:eastAsia="Consolas" w:hAnsi="Consolas"/>
          <w:sz w:val="20"/>
          <w:szCs w:val="20"/>
        </w:rPr>
        <w:t xml:space="preserve">Cita</w:t>
      </w:r>
      <w:r>
        <w:rPr>
          <w:rFonts w:ascii="Calibri" w:cs="Calibri" w:eastAsia="Calibri" w:hAnsi="Calibri"/>
        </w:rPr>
        <w:t xml:space="preserve"> (retorno y construcción, L.12 y L.58).</w:t>
      </w:r>
    </w:p>
    <w:p>
      <w:pPr>
        <w:pStyle w:val="ListParagraph"/>
        <w:numPr>
          <w:ilvl w:val="0"/>
          <w:numId w:val="2"/>
        </w:numPr>
        <w:spacing w:after="70" w:line="276"/>
      </w:pPr>
      <w:r>
        <w:rPr>
          <w:rFonts w:ascii="Consolas" w:cs="Consolas" w:eastAsia="Consolas" w:hAnsi="Consolas"/>
          <w:sz w:val="20"/>
          <w:szCs w:val="20"/>
        </w:rPr>
        <w:t xml:space="preserve">Paciente</w:t>
      </w:r>
      <w:r>
        <w:rPr>
          <w:rFonts w:ascii="Calibri" w:cs="Calibri" w:eastAsia="Calibri" w:hAnsi="Calibri"/>
        </w:rPr>
        <w:t xml:space="preserve"> (parámetro, L.12).</w:t>
      </w:r>
    </w:p>
    <w:p>
      <w:pPr>
        <w:pStyle w:val="ListParagraph"/>
        <w:numPr>
          <w:ilvl w:val="0"/>
          <w:numId w:val="2"/>
        </w:numPr>
        <w:spacing w:after="70" w:line="276"/>
      </w:pPr>
      <w:r>
        <w:rPr>
          <w:rFonts w:ascii="Consolas" w:cs="Consolas" w:eastAsia="Consolas" w:hAnsi="Consolas"/>
          <w:sz w:val="20"/>
          <w:szCs w:val="20"/>
        </w:rPr>
        <w:t xml:space="preserve">Odontologo</w:t>
      </w:r>
      <w:r>
        <w:rPr>
          <w:rFonts w:ascii="Calibri" w:cs="Calibri" w:eastAsia="Calibri" w:hAnsi="Calibri"/>
        </w:rPr>
        <w:t xml:space="preserve"> (parámetro, L.12).</w:t>
      </w:r>
    </w:p>
    <w:p>
      <w:pPr>
        <w:spacing w:after="120" w:line="276"/>
      </w:pPr>
      <w:r>
        <w:rPr>
          <w:rFonts w:ascii="Calibri" w:cs="Calibri" w:eastAsia="Calibri" w:hAnsi="Calibri"/>
          <w:b/>
          <w:bCs/>
        </w:rPr>
        <w:t xml:space="preserve">Sensibilidad.</w:t>
      </w:r>
      <w:r>
        <w:rPr>
          <w:rFonts w:ascii="Calibri" w:cs="Calibri" w:eastAsia="Calibri" w:hAnsi="Calibri"/>
        </w:rPr>
        <w:t xml:space="preserve"> Si se incluyeran los tipos del framework (</w:t>
      </w:r>
      <w:r>
        <w:rPr>
          <w:rFonts w:ascii="Consolas" w:cs="Consolas" w:eastAsia="Consolas" w:hAnsi="Consolas"/>
          <w:sz w:val="20"/>
          <w:szCs w:val="20"/>
        </w:rPr>
        <w:t xml:space="preserve">Exception</w:t>
      </w:r>
      <w:r>
        <w:rPr>
          <w:rFonts w:ascii="Calibri" w:cs="Calibri" w:eastAsia="Calibri" w:hAnsi="Calibri"/>
        </w:rPr>
        <w:t xml:space="preserve">, </w:t>
      </w:r>
      <w:r>
        <w:rPr>
          <w:rFonts w:ascii="Consolas" w:cs="Consolas" w:eastAsia="Consolas" w:hAnsi="Consolas"/>
          <w:sz w:val="20"/>
          <w:szCs w:val="20"/>
        </w:rPr>
        <w:t xml:space="preserve">DateTime</w:t>
      </w:r>
      <w:r>
        <w:rPr>
          <w:rFonts w:ascii="Calibri" w:cs="Calibri" w:eastAsia="Calibri" w:hAnsi="Calibri"/>
        </w:rPr>
        <w:t xml:space="preserve">, </w:t>
      </w:r>
      <w:r>
        <w:rPr>
          <w:rFonts w:ascii="Consolas" w:cs="Consolas" w:eastAsia="Consolas" w:hAnsi="Consolas"/>
          <w:sz w:val="20"/>
          <w:szCs w:val="20"/>
        </w:rPr>
        <w:t xml:space="preserve">TimeSpan</w:t>
      </w:r>
      <w:r>
        <w:rPr>
          <w:rFonts w:ascii="Calibri" w:cs="Calibri" w:eastAsia="Calibri" w:hAnsi="Calibri"/>
        </w:rPr>
        <w:t xml:space="preserve"> y </w:t>
      </w:r>
      <w:r>
        <w:rPr>
          <w:rFonts w:ascii="Consolas" w:cs="Consolas" w:eastAsia="Consolas" w:hAnsi="Consolas"/>
          <w:sz w:val="20"/>
          <w:szCs w:val="20"/>
        </w:rPr>
        <w:t xml:space="preserve">Guid</w:t>
      </w:r>
      <w:r>
        <w:rPr>
          <w:rFonts w:ascii="Calibri" w:cs="Calibri" w:eastAsia="Calibri" w:hAnsi="Calibri"/>
        </w:rPr>
        <w:t xml:space="preserve">), Ce sería 9. Además, el gestor queda ligado de forma transitiva a </w:t>
      </w:r>
      <w:r>
        <w:rPr>
          <w:rFonts w:ascii="Consolas" w:cs="Consolas" w:eastAsia="Consolas" w:hAnsi="Consolas"/>
          <w:sz w:val="20"/>
          <w:szCs w:val="20"/>
        </w:rPr>
        <w:t xml:space="preserve">System.Data.SqlClient</w:t>
      </w:r>
      <w:r>
        <w:rPr>
          <w:rFonts w:ascii="Calibri" w:cs="Calibri" w:eastAsia="Calibri" w:hAnsi="Calibri"/>
        </w:rPr>
        <w:t xml:space="preserve"> y </w:t>
      </w:r>
      <w:r>
        <w:rPr>
          <w:rFonts w:ascii="Consolas" w:cs="Consolas" w:eastAsia="Consolas" w:hAnsi="Consolas"/>
          <w:sz w:val="20"/>
          <w:szCs w:val="20"/>
        </w:rPr>
        <w:t xml:space="preserve">System.Net.Mail</w:t>
      </w:r>
      <w:r>
        <w:rPr>
          <w:rFonts w:ascii="Calibri" w:cs="Calibri" w:eastAsia="Calibri" w:hAnsi="Calibri"/>
        </w:rPr>
        <w:t xml:space="preserve"> a través de sus dos colaboradores.</w:t>
      </w:r>
    </w:p>
    <w:p>
      <w:pPr>
        <w:pStyle w:val="Heading2"/>
        <w:keepNext/>
        <w:spacing w:after="120" w:before="240"/>
      </w:pPr>
      <w:r>
        <w:rPr>
          <w:rFonts w:ascii="Calibri" w:cs="Calibri" w:eastAsia="Calibri" w:hAnsi="Calibri"/>
          <w:b/>
          <w:bCs/>
          <w:color w:val="1F3864"/>
          <w:sz w:val="25"/>
          <w:szCs w:val="25"/>
        </w:rPr>
        <w:t xml:space="preserve">6.4. Inestabilidad (I)</w:t>
      </w:r>
    </w:p>
    <w:p>
      <w:pPr>
        <w:shd w:fill="F2F2F2" w:color="auto" w:val="clear"/>
        <w:spacing w:after="0" w:line="252"/>
        <w:ind w:left="120" w:right="120"/>
      </w:pPr>
      <w:r>
        <w:rPr>
          <w:rFonts w:ascii="Consolas" w:cs="Consolas" w:eastAsia="Consolas" w:hAnsi="Consolas"/>
          <w:sz w:val="18"/>
          <w:szCs w:val="18"/>
        </w:rPr>
        <w:t xml:space="preserve">I = Ce / (Ce + Ca) = 5 / (5 + 1) = 0,833</w:t>
      </w:r>
    </w:p>
    <w:p>
      <w:pPr>
        <w:spacing w:after="120"/>
      </w:pPr>
    </w:p>
    <w:p>
      <w:pPr>
        <w:spacing w:after="120" w:line="276"/>
      </w:pPr>
      <w:r>
        <w:rPr>
          <w:rFonts w:ascii="Calibri" w:cs="Calibri" w:eastAsia="Calibri" w:hAnsi="Calibri"/>
        </w:rPr>
        <w:t xml:space="preserve">El gestor es un componente inestable: depende de mucho y casi nada depende de él. Con Ce = 9 la inestabilidad sería 0,90.</w:t>
      </w:r>
    </w:p>
    <w:p>
      <w:pPr>
        <w:pStyle w:val="Heading2"/>
        <w:keepNext/>
        <w:spacing w:after="120" w:before="240"/>
      </w:pPr>
      <w:r>
        <w:rPr>
          <w:rFonts w:ascii="Calibri" w:cs="Calibri" w:eastAsia="Calibri" w:hAnsi="Calibri"/>
          <w:b/>
          <w:bCs/>
          <w:color w:val="1F3864"/>
          <w:sz w:val="25"/>
          <w:szCs w:val="25"/>
        </w:rPr>
        <w:t xml:space="preserve">6.5. Abstracción (A)</w:t>
      </w:r>
    </w:p>
    <w:p>
      <w:pPr>
        <w:shd w:fill="F2F2F2" w:color="auto" w:val="clear"/>
        <w:spacing w:after="0" w:line="252"/>
        <w:ind w:left="120" w:right="120"/>
      </w:pPr>
      <w:r>
        <w:rPr>
          <w:rFonts w:ascii="Consolas" w:cs="Consolas" w:eastAsia="Consolas" w:hAnsi="Consolas"/>
          <w:sz w:val="18"/>
          <w:szCs w:val="18"/>
        </w:rPr>
        <w:t xml:space="preserve">Gestor:   A = Σ m_a / Σ m_c = 0 / 1 = 0,00</w:t>
      </w:r>
    </w:p>
    <w:p>
      <w:pPr>
        <w:shd w:fill="F2F2F2" w:color="auto" w:val="clear"/>
        <w:spacing w:after="0" w:line="252"/>
        <w:ind w:left="120" w:right="120"/>
      </w:pPr>
      <w:r>
        <w:rPr>
          <w:rFonts w:ascii="Consolas" w:cs="Consolas" w:eastAsia="Consolas" w:hAnsi="Consolas"/>
          <w:sz w:val="18"/>
          <w:szCs w:val="18"/>
        </w:rPr>
        <w:t xml:space="preserve">Solución: A = 0 tipos abstractos / 6 tipos concretos = 0,00</w:t>
      </w:r>
    </w:p>
    <w:p>
      <w:pPr>
        <w:spacing w:after="120"/>
      </w:pPr>
    </w:p>
    <w:p>
      <w:pPr>
        <w:spacing w:after="120" w:line="276"/>
      </w:pPr>
      <w:r>
        <w:rPr>
          <w:rFonts w:ascii="Calibri" w:cs="Calibri" w:eastAsia="Calibri" w:hAnsi="Calibri"/>
        </w:rPr>
        <w:t xml:space="preserve">No existen interfaces ni clases abstractas en toda la solución. Medida por miembros, la solución también arroja A = 0 / 8 = 0,00, porque los cuatro métodos del gestor y los de las demás clases (</w:t>
      </w:r>
      <w:r>
        <w:rPr>
          <w:rFonts w:ascii="Consolas" w:cs="Consolas" w:eastAsia="Consolas" w:hAnsi="Consolas"/>
          <w:sz w:val="20"/>
          <w:szCs w:val="20"/>
        </w:rPr>
        <w:t xml:space="preserve">GuardarCita</w:t>
      </w:r>
      <w:r>
        <w:rPr>
          <w:rFonts w:ascii="Calibri" w:cs="Calibri" w:eastAsia="Calibri" w:hAnsi="Calibri"/>
        </w:rPr>
        <w:t xml:space="preserve">, </w:t>
      </w:r>
      <w:r>
        <w:rPr>
          <w:rFonts w:ascii="Consolas" w:cs="Consolas" w:eastAsia="Consolas" w:hAnsi="Consolas"/>
          <w:sz w:val="20"/>
          <w:szCs w:val="20"/>
        </w:rPr>
        <w:t xml:space="preserve">ActualizarCancelacion</w:t>
      </w:r>
      <w:r>
        <w:rPr>
          <w:rFonts w:ascii="Calibri" w:cs="Calibri" w:eastAsia="Calibri" w:hAnsi="Calibri"/>
        </w:rPr>
        <w:t xml:space="preserve">, </w:t>
      </w:r>
      <w:r>
        <w:rPr>
          <w:rFonts w:ascii="Consolas" w:cs="Consolas" w:eastAsia="Consolas" w:hAnsi="Consolas"/>
          <w:sz w:val="20"/>
          <w:szCs w:val="20"/>
        </w:rPr>
        <w:t xml:space="preserve">EnviarEmailYSms</w:t>
      </w:r>
      <w:r>
        <w:rPr>
          <w:rFonts w:ascii="Calibri" w:cs="Calibri" w:eastAsia="Calibri" w:hAnsi="Calibri"/>
        </w:rPr>
        <w:t xml:space="preserve">, </w:t>
      </w:r>
      <w:r>
        <w:rPr>
          <w:rFonts w:ascii="Consolas" w:cs="Consolas" w:eastAsia="Consolas" w:hAnsi="Consolas"/>
          <w:sz w:val="20"/>
          <w:szCs w:val="20"/>
        </w:rPr>
        <w:t xml:space="preserve">GenerarTextoConfirmacion</w:t>
      </w:r>
      <w:r>
        <w:rPr>
          <w:rFonts w:ascii="Calibri" w:cs="Calibri" w:eastAsia="Calibri" w:hAnsi="Calibri"/>
        </w:rPr>
        <w:t xml:space="preserve">) son concretos.</w:t>
      </w:r>
    </w:p>
    <w:p>
      <w:pPr>
        <w:pStyle w:val="Heading2"/>
        <w:keepNext/>
        <w:spacing w:after="120" w:before="240"/>
      </w:pPr>
      <w:r>
        <w:rPr>
          <w:rFonts w:ascii="Calibri" w:cs="Calibri" w:eastAsia="Calibri" w:hAnsi="Calibri"/>
          <w:b/>
          <w:bCs/>
          <w:color w:val="1F3864"/>
          <w:sz w:val="25"/>
          <w:szCs w:val="25"/>
        </w:rPr>
        <w:t xml:space="preserve">6.6. Distancia a la Secuencia Principal (D)</w:t>
      </w:r>
    </w:p>
    <w:p>
      <w:pPr>
        <w:shd w:fill="F2F2F2" w:color="auto" w:val="clear"/>
        <w:spacing w:after="0" w:line="252"/>
        <w:ind w:left="120" w:right="120"/>
      </w:pPr>
      <w:r>
        <w:rPr>
          <w:rFonts w:ascii="Consolas" w:cs="Consolas" w:eastAsia="Consolas" w:hAnsi="Consolas"/>
          <w:sz w:val="18"/>
          <w:szCs w:val="18"/>
        </w:rPr>
        <w:t xml:space="preserve">|D| = |A + I − 1| = |0,00 + 0,833 − 1| = 0,167</w:t>
      </w:r>
    </w:p>
    <w:p>
      <w:pPr>
        <w:spacing w:after="120"/>
      </w:pPr>
    </w:p>
    <w:p>
      <w:pPr>
        <w:spacing w:after="120" w:line="276"/>
      </w:pPr>
      <w:r>
        <w:rPr>
          <w:rFonts w:ascii="Calibri" w:cs="Calibri" w:eastAsia="Calibri" w:hAnsi="Calibri"/>
        </w:rPr>
        <w:t xml:space="preserve">El gestor queda a 0,167 de la Secuencia Principal, cerca del extremo (A = 0, I = 1) en el que un componente concreto y volátil es aceptable.</w:t>
      </w:r>
    </w:p>
    <w:p>
      <w:pPr>
        <w:pStyle w:val="Heading2"/>
        <w:keepNext/>
        <w:spacing w:after="120" w:before="240"/>
      </w:pPr>
      <w:r>
        <w:rPr>
          <w:rFonts w:ascii="Calibri" w:cs="Calibri" w:eastAsia="Calibri" w:hAnsi="Calibri"/>
          <w:b/>
          <w:bCs/>
          <w:color w:val="1F3864"/>
          <w:sz w:val="25"/>
          <w:szCs w:val="25"/>
        </w:rPr>
        <w:t xml:space="preserve">6.7. Zona de Dolor (Zone of Pain)</w:t>
      </w:r>
    </w:p>
    <w:p>
      <w:pPr>
        <w:spacing w:after="120" w:line="276"/>
      </w:pPr>
      <w:r>
        <w:rPr>
          <w:rFonts w:ascii="Calibri" w:cs="Calibri" w:eastAsia="Calibri" w:hAnsi="Calibri"/>
        </w:rPr>
        <w:t xml:space="preserve">La Zona de Dolor corresponde a A ≈ 0 e I ≈ 0: código concreto, muy estable y con muchos dependientes, difícil de modificar. Para </w:t>
      </w:r>
      <w:r>
        <w:rPr>
          <w:rFonts w:ascii="Consolas" w:cs="Consolas" w:eastAsia="Consolas" w:hAnsi="Consolas"/>
          <w:sz w:val="20"/>
          <w:szCs w:val="20"/>
        </w:rPr>
        <w:t xml:space="preserve">GestorCitasOdontologicas</w:t>
      </w:r>
      <w:r>
        <w:rPr>
          <w:rFonts w:ascii="Calibri" w:cs="Calibri" w:eastAsia="Calibri" w:hAnsi="Calibri"/>
        </w:rPr>
        <w:t xml:space="preserve">, A = 0 pero I = 0,833, por lo que </w:t>
      </w:r>
      <w:r>
        <w:rPr>
          <w:rFonts w:ascii="Calibri" w:cs="Calibri" w:eastAsia="Calibri" w:hAnsi="Calibri"/>
          <w:b/>
          <w:bCs/>
        </w:rPr>
        <w:t xml:space="preserve">no cae en la Zona de Dolor</w:t>
      </w:r>
      <w:r>
        <w:rPr>
          <w:rFonts w:ascii="Calibri" w:cs="Calibri" w:eastAsia="Calibri" w:hAnsi="Calibri"/>
        </w:rPr>
        <w:t xml:space="preserve">. Esto es coherente con su papel de componente volátil y de bajo Ca.</w:t>
      </w:r>
    </w:p>
    <w:p>
      <w:pPr>
        <w:spacing w:after="120" w:line="276"/>
      </w:pPr>
      <w:r>
        <w:rPr>
          <w:rFonts w:ascii="Calibri" w:cs="Calibri" w:eastAsia="Calibri" w:hAnsi="Calibri"/>
        </w:rPr>
        <w:t xml:space="preserve">El problema del gestor no aparece en su posición en el plano A–I sino en otros indicadores: un Ce alto con dependencias exclusivamente concretas, una cohesión intermedia que oculta responsabilidades mezcladas dentro de un método y la ausencia total de abstracciones. En cambio, las entidades </w:t>
      </w:r>
      <w:r>
        <w:rPr>
          <w:rFonts w:ascii="Consolas" w:cs="Consolas" w:eastAsia="Consolas" w:hAnsi="Consolas"/>
          <w:sz w:val="20"/>
          <w:szCs w:val="20"/>
        </w:rPr>
        <w:t xml:space="preserve">Paciente</w:t>
      </w:r>
      <w:r>
        <w:rPr>
          <w:rFonts w:ascii="Calibri" w:cs="Calibri" w:eastAsia="Calibri" w:hAnsi="Calibri"/>
        </w:rPr>
        <w:t xml:space="preserve"> y </w:t>
      </w:r>
      <w:r>
        <w:rPr>
          <w:rFonts w:ascii="Consolas" w:cs="Consolas" w:eastAsia="Consolas" w:hAnsi="Consolas"/>
          <w:sz w:val="20"/>
          <w:szCs w:val="20"/>
        </w:rPr>
        <w:t xml:space="preserve">Odontologo</w:t>
      </w:r>
      <w:r>
        <w:rPr>
          <w:rFonts w:ascii="Calibri" w:cs="Calibri" w:eastAsia="Calibri" w:hAnsi="Calibri"/>
        </w:rPr>
        <w:t xml:space="preserve"> sí caen en la Zona de Dolor, lo que es tolerable mientras sean datos de baja volatilidad, aunque impide modificarlas sin afectar a sus dependientes.</w:t>
      </w:r>
    </w:p>
    <w:p>
      <w:pPr>
        <w:keepNext/>
        <w:spacing w:after="120" w:line="276"/>
      </w:pPr>
      <w:r>
        <w:rPr>
          <w:rFonts w:ascii="Calibri" w:cs="Calibri" w:eastAsia="Calibri" w:hAnsi="Calibri"/>
          <w:b/>
          <w:bCs/>
        </w:rPr>
        <w:t xml:space="preserve">Tabla complementaria: demás tipos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
        <w:gridCol w:w="560"/>
        <w:gridCol w:w="640"/>
        <w:gridCol w:w="640"/>
        <w:gridCol w:w="640"/>
        <w:gridCol w:w="412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Tipo</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Ca</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Ce</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A</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w:t>
            </w:r>
          </w:p>
        </w:tc>
        <w:tc>
          <w:tcPr>
            <w:tcW w:type="dxa" w:w="4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Observación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GestorCitasOdontologicas</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5</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0,83</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0,17</w:t>
            </w:r>
          </w:p>
        </w:tc>
        <w:tc>
          <w:tcPr>
            <w:tcW w:type="dxa" w:w="4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Cerca de la Secuencia Principal; fuera de la Zona de Dolor.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SqlServerEjecutor</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0,50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0,50</w:t>
            </w:r>
          </w:p>
        </w:tc>
        <w:tc>
          <w:tcPr>
            <w:tcW w:type="dxa" w:w="4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Concreto; detalle de infraestructura.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NotificacionServicio</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0,50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0,50</w:t>
            </w:r>
          </w:p>
        </w:tc>
        <w:tc>
          <w:tcPr>
            <w:tcW w:type="dxa" w:w="4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Concreto; detalle de infraestructura.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Cita</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0,33</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0,67</w:t>
            </w:r>
          </w:p>
        </w:tc>
        <w:tc>
          <w:tcPr>
            <w:tcW w:type="dxa" w:w="4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Muy usada y concreta: tendencia hacia la Zona de Dolor.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Paciente</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w:t>
            </w:r>
          </w:p>
        </w:tc>
        <w:tc>
          <w:tcPr>
            <w:tcW w:type="dxa" w:w="4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Zona de Dolor</w:t>
            </w:r>
            <w:r>
              <w:rPr>
                <w:rFonts w:ascii="Calibri" w:cs="Calibri" w:eastAsia="Calibri" w:hAnsi="Calibri"/>
                <w:b w:val="false"/>
                <w:bCs w:val="false"/>
                <w:sz w:val="18"/>
                <w:szCs w:val="18"/>
              </w:rPr>
              <w:t xml:space="preserve"> (entidad estable).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Odontologo</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1,00</w:t>
            </w:r>
          </w:p>
        </w:tc>
        <w:tc>
          <w:tcPr>
            <w:tcW w:type="dxa" w:w="4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Zona de Dolor</w:t>
            </w:r>
            <w:r>
              <w:rPr>
                <w:rFonts w:ascii="Calibri" w:cs="Calibri" w:eastAsia="Calibri" w:hAnsi="Calibri"/>
                <w:b w:val="false"/>
                <w:bCs w:val="false"/>
                <w:sz w:val="18"/>
                <w:szCs w:val="18"/>
              </w:rPr>
              <w:t xml:space="preserve"> (entidad estable).</w:t>
            </w:r>
          </w:p>
        </w:tc>
      </w:tr>
    </w:tbl>
    <w:p>
      <w:pPr>
        <w:spacing w:after="120"/>
      </w:pPr>
    </w:p>
    <w:p>
      <w:pPr>
        <w:spacing w:after="120" w:line="276"/>
      </w:pPr>
      <w:r>
        <w:rPr>
          <w:rFonts w:ascii="Calibri" w:cs="Calibri" w:eastAsia="Calibri" w:hAnsi="Calibri"/>
        </w:rPr>
        <w:t xml:space="preserve">En los tipos sin métodos (</w:t>
      </w:r>
      <w:r>
        <w:rPr>
          <w:rFonts w:ascii="Consolas" w:cs="Consolas" w:eastAsia="Consolas" w:hAnsi="Consolas"/>
          <w:sz w:val="20"/>
          <w:szCs w:val="20"/>
        </w:rPr>
        <w:t xml:space="preserve">Paciente</w:t>
      </w:r>
      <w:r>
        <w:rPr>
          <w:rFonts w:ascii="Calibri" w:cs="Calibri" w:eastAsia="Calibri" w:hAnsi="Calibri"/>
        </w:rPr>
        <w:t xml:space="preserve"> y </w:t>
      </w:r>
      <w:r>
        <w:rPr>
          <w:rFonts w:ascii="Consolas" w:cs="Consolas" w:eastAsia="Consolas" w:hAnsi="Consolas"/>
          <w:sz w:val="20"/>
          <w:szCs w:val="20"/>
        </w:rPr>
        <w:t xml:space="preserve">Odontologo</w:t>
      </w:r>
      <w:r>
        <w:rPr>
          <w:rFonts w:ascii="Calibri" w:cs="Calibri" w:eastAsia="Calibri" w:hAnsi="Calibri"/>
        </w:rPr>
        <w:t xml:space="preserve">) se toma A = 0. El Ce de </w:t>
      </w:r>
      <w:r>
        <w:rPr>
          <w:rFonts w:ascii="Consolas" w:cs="Consolas" w:eastAsia="Consolas" w:hAnsi="Consolas"/>
          <w:sz w:val="20"/>
          <w:szCs w:val="20"/>
        </w:rPr>
        <w:t xml:space="preserve">SqlServerEjecutor</w:t>
      </w:r>
      <w:r>
        <w:rPr>
          <w:rFonts w:ascii="Calibri" w:cs="Calibri" w:eastAsia="Calibri" w:hAnsi="Calibri"/>
        </w:rPr>
        <w:t xml:space="preserve"> y </w:t>
      </w:r>
      <w:r>
        <w:rPr>
          <w:rFonts w:ascii="Consolas" w:cs="Consolas" w:eastAsia="Consolas" w:hAnsi="Consolas"/>
          <w:sz w:val="20"/>
          <w:szCs w:val="20"/>
        </w:rPr>
        <w:t xml:space="preserve">NotificacionServicio</w:t>
      </w:r>
      <w:r>
        <w:rPr>
          <w:rFonts w:ascii="Calibri" w:cs="Calibri" w:eastAsia="Calibri" w:hAnsi="Calibri"/>
        </w:rPr>
        <w:t xml:space="preserve"> cuenta solo </w:t>
      </w:r>
      <w:r>
        <w:rPr>
          <w:rFonts w:ascii="Consolas" w:cs="Consolas" w:eastAsia="Consolas" w:hAnsi="Consolas"/>
          <w:sz w:val="20"/>
          <w:szCs w:val="20"/>
        </w:rPr>
        <w:t xml:space="preserve">Cita</w:t>
      </w:r>
      <w:r>
        <w:rPr>
          <w:rFonts w:ascii="Calibri" w:cs="Calibri" w:eastAsia="Calibri" w:hAnsi="Calibri"/>
        </w:rPr>
        <w:t xml:space="preserve">, el único tipo de la solución que nombran de forma explícita.</w:t>
      </w:r>
    </w:p>
    <w:p>
      <w:pPr>
        <w:pStyle w:val="Heading2"/>
        <w:keepNext/>
        <w:spacing w:after="120" w:before="240"/>
      </w:pPr>
      <w:r>
        <w:rPr>
          <w:rFonts w:ascii="Calibri" w:cs="Calibri" w:eastAsia="Calibri" w:hAnsi="Calibri"/>
          <w:b/>
          <w:bCs/>
          <w:color w:val="1F3864"/>
          <w:sz w:val="25"/>
          <w:szCs w:val="25"/>
        </w:rPr>
        <w:t xml:space="preserve">6.8. Métrica complementaria: complejidad ciclomática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Método</w:t>
            </w:r>
          </w:p>
        </w:tc>
        <w:tc>
          <w:tcPr>
            <w:tcW w:type="dxa" w:w="4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Puntos de decisión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Complejidad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AgendarCita</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L.14, 22, 26, 30, 34, 40, 44, 49 y 54 (9 decisiones)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CancelarCita</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L.79 y 81 (2 decisiones)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ObtenerTotalRecaudado</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Sin decisiones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ObtenerTotalCanceladas</w:t>
            </w:r>
          </w:p>
        </w:tc>
        <w:tc>
          <w:tcPr>
            <w:tcW w:type="dxa" w:w="4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Sin decisiones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r>
    </w:tbl>
    <w:p>
      <w:pPr>
        <w:spacing w:after="120"/>
      </w:pPr>
    </w:p>
    <w:p>
      <w:pPr>
        <w:spacing w:after="120" w:line="276"/>
      </w:pPr>
      <w:r>
        <w:rPr>
          <w:rFonts w:ascii="Consolas" w:cs="Consolas" w:eastAsia="Consolas" w:hAnsi="Consolas"/>
          <w:sz w:val="20"/>
          <w:szCs w:val="20"/>
        </w:rPr>
        <w:t xml:space="preserve">AgendarCita</w:t>
      </w:r>
      <w:r>
        <w:rPr>
          <w:rFonts w:ascii="Calibri" w:cs="Calibri" w:eastAsia="Calibri" w:hAnsi="Calibri"/>
        </w:rPr>
        <w:t xml:space="preserve"> concentra casi toda la complejidad de la clase. Este conteo respalda el diagnóstico de God Class que LCOM96b, por sí sola, no alcanza a reflejar.</w:t>
      </w:r>
    </w:p>
    <w:p>
      <w:pPr>
        <w:pStyle w:val="Heading1"/>
        <w:keepNext/>
        <w:spacing w:after="160" w:before="360"/>
      </w:pPr>
      <w:r>
        <w:rPr>
          <w:rFonts w:ascii="Calibri" w:cs="Calibri" w:eastAsia="Calibri" w:hAnsi="Calibri"/>
          <w:b/>
          <w:bCs/>
          <w:color w:val="1F3864"/>
          <w:sz w:val="30"/>
          <w:szCs w:val="30"/>
        </w:rPr>
        <w:t xml:space="preserve">7. Fase 2 — Refactorización y diseño sostenible</w:t>
      </w:r>
    </w:p>
    <w:p>
      <w:pPr>
        <w:spacing w:after="120" w:line="276"/>
      </w:pPr>
      <w:r>
        <w:rPr>
          <w:rFonts w:ascii="Calibri" w:cs="Calibri" w:eastAsia="Calibri" w:hAnsi="Calibri"/>
        </w:rPr>
        <w:t xml:space="preserve">La solución </w:t>
      </w:r>
      <w:r>
        <w:rPr>
          <w:rFonts w:ascii="Calibri" w:cs="Calibri" w:eastAsia="Calibri" w:hAnsi="Calibri"/>
          <w:b/>
          <w:bCs/>
        </w:rPr>
        <w:t xml:space="preserve">DentalCare.Refactored</w:t>
      </w:r>
      <w:r>
        <w:rPr>
          <w:rFonts w:ascii="Calibri" w:cs="Calibri" w:eastAsia="Calibri" w:hAnsi="Calibri"/>
        </w:rPr>
        <w:t xml:space="preserve"> reemplaza la clase monolítica por un conjunto de componentes pequeños, cada uno con una sola razón de cambio, que se comunican mediante interfaces y se ensamblan en un único punto: </w:t>
      </w:r>
      <w:r>
        <w:rPr>
          <w:rFonts w:ascii="Consolas" w:cs="Consolas" w:eastAsia="Consolas" w:hAnsi="Consolas"/>
          <w:sz w:val="20"/>
          <w:szCs w:val="20"/>
        </w:rPr>
        <w:t xml:space="preserve">Program.cs</w:t>
      </w:r>
      <w:r>
        <w:rPr>
          <w:rFonts w:ascii="Calibri" w:cs="Calibri" w:eastAsia="Calibri" w:hAnsi="Calibri"/>
        </w:rPr>
        <w:t xml:space="preserve">. El alcance funcional es el mismo del legado. No hay conexión real a SQL Server ni envío de correos o SMS; esas piezas se sustituyen por adaptadores en memoria que cumplen los mismos contratos. El objetivo no es agregar funcionalidad sino mostrar una estructura desacoplada, fácil de extender y de verificar.</w:t>
      </w:r>
    </w:p>
    <w:p>
      <w:pPr>
        <w:pStyle w:val="Heading2"/>
        <w:keepNext/>
        <w:spacing w:after="120" w:before="240"/>
      </w:pPr>
      <w:r>
        <w:rPr>
          <w:rFonts w:ascii="Calibri" w:cs="Calibri" w:eastAsia="Calibri" w:hAnsi="Calibri"/>
          <w:b/>
          <w:bCs/>
          <w:color w:val="1F3864"/>
          <w:sz w:val="25"/>
          <w:szCs w:val="25"/>
        </w:rPr>
        <w:t xml:space="preserve">7.1. Criterios de diseño adoptados</w:t>
      </w:r>
    </w:p>
    <w:p>
      <w:pPr>
        <w:pStyle w:val="ListParagraph"/>
        <w:numPr>
          <w:ilvl w:val="0"/>
          <w:numId w:val="2"/>
        </w:numPr>
        <w:spacing w:after="70" w:line="276"/>
      </w:pPr>
      <w:r>
        <w:rPr>
          <w:rFonts w:ascii="Calibri" w:cs="Calibri" w:eastAsia="Calibri" w:hAnsi="Calibri"/>
        </w:rPr>
        <w:t xml:space="preserve">Separar los casos de uso (agendar y cancelar) de las reglas de negocio (tarifas y penalizaciones) y de los detalles técnicos (persistencia, notificación y generación de identificadores).</w:t>
      </w:r>
    </w:p>
    <w:p>
      <w:pPr>
        <w:pStyle w:val="ListParagraph"/>
        <w:numPr>
          <w:ilvl w:val="0"/>
          <w:numId w:val="2"/>
        </w:numPr>
        <w:spacing w:after="70" w:line="276"/>
      </w:pPr>
      <w:r>
        <w:rPr>
          <w:rFonts w:ascii="Calibri" w:cs="Calibri" w:eastAsia="Calibri" w:hAnsi="Calibri"/>
        </w:rPr>
        <w:t xml:space="preserve">Expresar cada variante de negocio (especialidad, convenio, recargo o penalización) como una regla independiente que implementa un contrato común.</w:t>
      </w:r>
    </w:p>
    <w:p>
      <w:pPr>
        <w:pStyle w:val="ListParagraph"/>
        <w:numPr>
          <w:ilvl w:val="0"/>
          <w:numId w:val="2"/>
        </w:numPr>
        <w:spacing w:after="70" w:line="276"/>
      </w:pPr>
      <w:r>
        <w:rPr>
          <w:rFonts w:ascii="Calibri" w:cs="Calibri" w:eastAsia="Calibri" w:hAnsi="Calibri"/>
        </w:rPr>
        <w:t xml:space="preserve">Hacer que los servicios dependan solo de abstracciones y reciban sus colaboradores por constructor, con inyección manual (*Pure DI*, según Seemann y van Deursen, 2019) y sin contenedor IoC. Las dependencias son obligatorias y se validan en el constructor.</w:t>
      </w:r>
    </w:p>
    <w:p>
      <w:pPr>
        <w:pStyle w:val="ListParagraph"/>
        <w:numPr>
          <w:ilvl w:val="0"/>
          <w:numId w:val="2"/>
        </w:numPr>
        <w:spacing w:after="70" w:line="276"/>
      </w:pPr>
      <w:r>
        <w:rPr>
          <w:rFonts w:ascii="Calibri" w:cs="Calibri" w:eastAsia="Calibri" w:hAnsi="Calibri"/>
        </w:rPr>
        <w:t xml:space="preserve">Reemplazar los códigos enteros y las cadenas mágicas por tipos del dominio: enumeraciones, records y una excepción específica.</w:t>
      </w:r>
    </w:p>
    <w:p>
      <w:pPr>
        <w:pStyle w:val="ListParagraph"/>
        <w:numPr>
          <w:ilvl w:val="0"/>
          <w:numId w:val="2"/>
        </w:numPr>
        <w:spacing w:after="70" w:line="276"/>
      </w:pPr>
      <w:r>
        <w:rPr>
          <w:rFonts w:ascii="Calibri" w:cs="Calibri" w:eastAsia="Calibri" w:hAnsi="Calibri"/>
        </w:rPr>
        <w:t xml:space="preserve">Conservar el comportamiento observable del legado para poder verificar la equivalencia con los casos de aceptación de la sección 3.</w:t>
      </w:r>
    </w:p>
    <w:p>
      <w:pPr>
        <w:pStyle w:val="Heading2"/>
        <w:keepNext/>
        <w:spacing w:after="120" w:before="240"/>
      </w:pPr>
      <w:r>
        <w:rPr>
          <w:rFonts w:ascii="Calibri" w:cs="Calibri" w:eastAsia="Calibri" w:hAnsi="Calibri"/>
          <w:b/>
          <w:bCs/>
          <w:color w:val="1F3864"/>
          <w:sz w:val="25"/>
          <w:szCs w:val="25"/>
        </w:rPr>
        <w:t xml:space="preserve">7.2. Organización de la solución</w:t>
      </w:r>
    </w:p>
    <w:p>
      <w:pPr>
        <w:spacing w:after="120" w:line="276"/>
      </w:pPr>
      <w:r>
        <w:rPr>
          <w:rFonts w:ascii="Calibri" w:cs="Calibri" w:eastAsia="Calibri" w:hAnsi="Calibri"/>
        </w:rPr>
        <w:t xml:space="preserve">Cada carpeta del proyecto corresponde a un namespace con un propósito concreto.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Carpeta (namespace)</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Contenido</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Responsabilidad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Entidades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Cita</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Paciente</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Odontologo</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Datos del dominio. </w:t>
            </w:r>
            <w:r>
              <w:rPr>
                <w:rFonts w:ascii="Consolas" w:cs="Consolas" w:eastAsia="Consolas" w:hAnsi="Consolas"/>
                <w:sz w:val="16"/>
                <w:szCs w:val="16"/>
              </w:rPr>
              <w:t xml:space="preserve">Cita</w:t>
            </w:r>
            <w:r>
              <w:rPr>
                <w:rFonts w:ascii="Calibri" w:cs="Calibri" w:eastAsia="Calibri" w:hAnsi="Calibri"/>
                <w:b w:val="false"/>
                <w:bCs w:val="false"/>
                <w:sz w:val="18"/>
                <w:szCs w:val="18"/>
              </w:rPr>
              <w:t xml:space="preserve"> expone propiedades de solo lectura y encapsula su cambio de estado en el método </w:t>
            </w:r>
            <w:r>
              <w:rPr>
                <w:rFonts w:ascii="Consolas" w:cs="Consolas" w:eastAsia="Consolas" w:hAnsi="Consolas"/>
                <w:sz w:val="16"/>
                <w:szCs w:val="16"/>
              </w:rPr>
              <w:t xml:space="preserve">Cancelar</w:t>
            </w:r>
            <w:r>
              <w:rPr>
                <w:rFonts w:ascii="Calibri" w:cs="Calibri" w:eastAsia="Calibri" w:hAnsi="Calibri"/>
                <w:b w:val="false"/>
                <w:bCs w:val="false"/>
                <w:sz w:val="18"/>
                <w:szCs w:val="18"/>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Enumeraciones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Convenio</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Especialidad</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EstadoCita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Sustituyen los enteros (1, 2, 3…) y las cadenas («PROGRAMADA», «CANCELADA») del legado.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Excepciones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OdontologoNoDisponibleException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Error de negocio con tipo propio en lugar de </w:t>
            </w:r>
            <w:r>
              <w:rPr>
                <w:rFonts w:ascii="Consolas" w:cs="Consolas" w:eastAsia="Consolas" w:hAnsi="Consolas"/>
                <w:sz w:val="16"/>
                <w:szCs w:val="16"/>
              </w:rPr>
              <w:t xml:space="preserve">Exception</w:t>
            </w:r>
            <w:r>
              <w:rPr>
                <w:rFonts w:ascii="Calibri" w:cs="Calibri" w:eastAsia="Calibri" w:hAnsi="Calibri"/>
                <w:b w:val="false"/>
                <w:bCs w:val="false"/>
                <w:sz w:val="18"/>
                <w:szCs w:val="18"/>
              </w:rPr>
              <w:t xml:space="preserve"> genérica.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Interfaces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14 contratos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Abstracciones de las que dependen los servicios (ver 7.4).</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Modelos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SolicitudAgendamiento</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ContextoCancelacion</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MensajeNotificacion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Records inmutables que transportan los datos de cada operación.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Reglas/Tarifas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 tarifas por especialidad, 2 descuentos por convenio y 2 recargos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Cálculo del copago, una regla por clase.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Reglas/Penalizaciones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PenalizacionCancelacionTardia</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RecargoCancelacionTardiaCirugia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Política de cancelación, una regla por clase.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Reglas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PoliticaCancelacion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Constante del límite de 24 horas que comparten las reglas de penalización.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Servicios</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10 clases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Casos de uso, calculadores que componen reglas y adaptadores en memoria.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(raíz)</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Program.cs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Composition root: crea y conecta todas las dependencias.</w:t>
            </w:r>
          </w:p>
        </w:tc>
      </w:tr>
    </w:tbl>
    <w:p>
      <w:pPr>
        <w:pStyle w:val="Heading2"/>
        <w:keepNext/>
        <w:spacing w:after="120" w:before="240"/>
      </w:pPr>
      <w:r>
        <w:rPr>
          <w:rFonts w:ascii="Calibri" w:cs="Calibri" w:eastAsia="Calibri" w:hAnsi="Calibri"/>
          <w:b/>
          <w:bCs/>
          <w:color w:val="1F3864"/>
          <w:sz w:val="25"/>
          <w:szCs w:val="25"/>
        </w:rPr>
        <w:t xml:space="preserve">7.3. Trazabilidad entre el legado y la solución refactorizada</w:t>
      </w:r>
    </w:p>
    <w:p>
      <w:pPr>
        <w:spacing w:after="120" w:line="276"/>
      </w:pPr>
      <w:r>
        <w:rPr>
          <w:rFonts w:ascii="Calibri" w:cs="Calibri" w:eastAsia="Calibri" w:hAnsi="Calibri"/>
        </w:rPr>
        <w:t xml:space="preserve">La tabla muestra a dónde fue a parar cada responsabilidad de </w:t>
      </w:r>
      <w:r>
        <w:rPr>
          <w:rFonts w:ascii="Consolas" w:cs="Consolas" w:eastAsia="Consolas" w:hAnsi="Consolas"/>
          <w:sz w:val="20"/>
          <w:szCs w:val="20"/>
        </w:rPr>
        <w:t xml:space="preserve">GestorCitasOdontologicas</w:t>
      </w:r>
      <w:r>
        <w:rPr>
          <w:rFonts w:ascii="Calibri" w:cs="Calibri" w:eastAsia="Calibri" w:hAnsi="Calibri"/>
        </w:rPr>
        <w:t xml:space="preserve"> y qué principio motivó el cambio. Las líneas corresponden a </w:t>
      </w:r>
      <w:r>
        <w:rPr>
          <w:rFonts w:ascii="Consolas" w:cs="Consolas" w:eastAsia="Consolas" w:hAnsi="Consolas"/>
          <w:sz w:val="20"/>
          <w:szCs w:val="20"/>
        </w:rPr>
        <w:t xml:space="preserve">GestorCitasOdontologicas.cs</w:t>
      </w:r>
      <w:r>
        <w:rPr>
          <w:rFonts w:ascii="Calibri" w:cs="Calibri" w:eastAsia="Calibri" w:hAnsi="Calibri"/>
        </w:rPr>
        <w:t xml:space="preserve"> salvo que se indique otro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960"/>
        <w:gridCol w:w="1300"/>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Responsabilidad en el legado</w:t>
            </w:r>
          </w:p>
        </w:tc>
        <w:tc>
          <w:tcPr>
            <w:tcW w:type="dxa" w:w="49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Componente refactorizado</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Principio</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Validación de disponibilidad (L.14–17)</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ValidadorDisponibilidadPorBandera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IValidadorDisponibilidad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 DIP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Tarifa por especialidad (L.19–37)</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TarifaOrtodoncia</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TarifaEndodoncia</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TarifaCirugia</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TarifaOdontopediatria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IReglaTarifa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OCP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Descuentos por convenio (L.39–47)</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DescuentoEps</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DescuentoPrepagada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IReglaTarifa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OCP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Recargos de primera vez y radiografía (L.49–57)</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RecargoPrimeraVez</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RecargoRadiografia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IReglaTarifa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OCP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Composición del copago (L.19–57)</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CalculadorCopago</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ICalculadorCopago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 OCP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Creación de la cita e identificador (L.58–66)</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GuidGeneradorIdentificador</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IGeneradorIdentificador</w:t>
            </w:r>
            <w:r>
              <w:rPr>
                <w:rFonts w:ascii="Calibri" w:cs="Calibri" w:eastAsia="Calibri" w:hAnsi="Calibri"/>
                <w:b w:val="false"/>
                <w:bCs w:val="false"/>
                <w:sz w:val="18"/>
                <w:szCs w:val="18"/>
              </w:rPr>
              <w:t xml:space="preserve"> y constructor de </w:t>
            </w:r>
            <w:r>
              <w:rPr>
                <w:rFonts w:ascii="Consolas" w:cs="Consolas" w:eastAsia="Consolas" w:hAnsi="Consolas"/>
                <w:sz w:val="16"/>
                <w:szCs w:val="16"/>
              </w:rPr>
              <w:t xml:space="preserve">Cita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 DIP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Persistencia en SQL Server (L.68, L.88; </w:t>
            </w:r>
            <w:r>
              <w:rPr>
                <w:rFonts w:ascii="Consolas" w:cs="Consolas" w:eastAsia="Consolas" w:hAnsi="Consolas"/>
                <w:sz w:val="16"/>
                <w:szCs w:val="16"/>
              </w:rPr>
              <w:t xml:space="preserve">SqlServerEjecutor.cs</w:t>
            </w:r>
            <w:r>
              <w:rPr>
                <w:rFonts w:ascii="Calibri" w:cs="Calibri" w:eastAsia="Calibri" w:hAnsi="Calibri"/>
                <w:b w:val="false"/>
                <w:bCs w:val="false"/>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RepositorioEnMemoria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ICitaRepositorio</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ICancelacionRepositorio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DIP, ISP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Notificación por correo y SMS (L.69, L.89; </w:t>
            </w:r>
            <w:r>
              <w:rPr>
                <w:rFonts w:ascii="Consolas" w:cs="Consolas" w:eastAsia="Consolas" w:hAnsi="Consolas"/>
                <w:sz w:val="16"/>
                <w:szCs w:val="16"/>
              </w:rPr>
              <w:t xml:space="preserve">NotificacionServicio.cs</w:t>
            </w:r>
            <w:r>
              <w:rPr>
                <w:rFonts w:ascii="Calibri" w:cs="Calibri" w:eastAsia="Calibri" w:hAnsi="Calibri"/>
                <w:b w:val="false"/>
                <w:bCs w:val="false"/>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NotificadorEnMemoria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INotificador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DIP, ISP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Texto de los mensajes (</w:t>
            </w:r>
            <w:r>
              <w:rPr>
                <w:rFonts w:ascii="Consolas" w:cs="Consolas" w:eastAsia="Consolas" w:hAnsi="Consolas"/>
                <w:sz w:val="16"/>
                <w:szCs w:val="16"/>
              </w:rPr>
              <w:t xml:space="preserve">Cita.cs</w:t>
            </w:r>
            <w:r>
              <w:rPr>
                <w:rFonts w:ascii="Calibri" w:cs="Calibri" w:eastAsia="Calibri" w:hAnsi="Calibri"/>
                <w:b w:val="false"/>
                <w:bCs w:val="false"/>
                <w:sz w:val="18"/>
                <w:szCs w:val="18"/>
              </w:rPr>
              <w:t xml:space="preserve">, L.16; </w:t>
            </w:r>
            <w:r>
              <w:rPr>
                <w:rFonts w:ascii="Consolas" w:cs="Consolas" w:eastAsia="Consolas" w:hAnsi="Consolas"/>
                <w:sz w:val="16"/>
                <w:szCs w:val="16"/>
              </w:rPr>
              <w:t xml:space="preserve">NotificacionServicio.cs</w:t>
            </w:r>
            <w:r>
              <w:rPr>
                <w:rFonts w:ascii="Calibri" w:cs="Calibri" w:eastAsia="Calibri" w:hAnsi="Calibri"/>
                <w:b w:val="false"/>
                <w:bCs w:val="false"/>
                <w:sz w:val="18"/>
                <w:szCs w:val="18"/>
              </w:rPr>
              <w:t xml:space="preserve">, L.17)</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ConstructorMensajesCita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IConstructorMensajes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Política de cancelación (L.77–83)</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PenalizacionCancelacionTardia</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RecargoCancelacionTardiaCirugia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IReglaPenalizacion</w:t>
            </w:r>
            <w:r>
              <w:rPr>
                <w:rFonts w:ascii="Calibri" w:cs="Calibri" w:eastAsia="Calibri" w:hAnsi="Calibri"/>
                <w:b w:val="false"/>
                <w:bCs w:val="false"/>
                <w:sz w:val="18"/>
                <w:szCs w:val="18"/>
              </w:rPr>
              <w:t xml:space="preserve">, compuestas por </w:t>
            </w:r>
            <w:r>
              <w:rPr>
                <w:rFonts w:ascii="Consolas" w:cs="Consolas" w:eastAsia="Consolas" w:hAnsi="Consolas"/>
                <w:sz w:val="16"/>
                <w:szCs w:val="16"/>
              </w:rPr>
              <w:t xml:space="preserve">CalculadorPenalizacion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 OCP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Cambio de estado de la cita (L.85–86)</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Cita.Cancelar(penalizacion)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Acumuladores de reporte (L.9–10, 71, 91, 95, 97)</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ReporteCitasEnMemoria</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IRegistroReportes</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IConsultaReportes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 ISP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Orquestación de agendar (L.12–73)</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ServicioAgendamiento</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IServicioAgendamiento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 DIP</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Orquestación de cancelar (L.75–93)</w:t>
            </w:r>
          </w:p>
        </w:tc>
        <w:tc>
          <w:tcPr>
            <w:tcW w:type="dxa" w:w="4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ServicioCancelacion</w:t>
            </w:r>
            <w:r>
              <w:rPr>
                <w:rFonts w:ascii="Calibri" w:cs="Calibri" w:eastAsia="Calibri" w:hAnsi="Calibri"/>
                <w:b w:val="false"/>
                <w:bCs w:val="false"/>
                <w:sz w:val="18"/>
                <w:szCs w:val="18"/>
              </w:rPr>
              <w:t xml:space="preserve"> : </w:t>
            </w:r>
            <w:r>
              <w:rPr>
                <w:rFonts w:ascii="Consolas" w:cs="Consolas" w:eastAsia="Consolas" w:hAnsi="Consolas"/>
                <w:sz w:val="16"/>
                <w:szCs w:val="16"/>
              </w:rPr>
              <w:t xml:space="preserve">IServicioCancelacion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SRP, DIP</w:t>
            </w:r>
          </w:p>
        </w:tc>
      </w:tr>
    </w:tbl>
    <w:p>
      <w:pPr>
        <w:pStyle w:val="Heading2"/>
        <w:keepNext/>
        <w:spacing w:after="120" w:before="240"/>
      </w:pPr>
      <w:r>
        <w:rPr>
          <w:rFonts w:ascii="Calibri" w:cs="Calibri" w:eastAsia="Calibri" w:hAnsi="Calibri"/>
          <w:b/>
          <w:bCs/>
          <w:color w:val="1F3864"/>
          <w:sz w:val="25"/>
          <w:szCs w:val="25"/>
        </w:rPr>
        <w:t xml:space="preserve">7.4. Contratos y flujo de dependencias</w:t>
      </w:r>
    </w:p>
    <w:p>
      <w:pPr>
        <w:keepNext/>
        <w:spacing w:after="120" w:line="276"/>
      </w:pPr>
      <w:r>
        <w:rPr>
          <w:rFonts w:ascii="Calibri" w:cs="Calibri" w:eastAsia="Calibri" w:hAnsi="Calibri"/>
        </w:rPr>
        <w:t xml:space="preserve">Las 14 interfaces se agrupan según el papel que cumplen:</w:t>
      </w:r>
    </w:p>
    <w:p>
      <w:pPr>
        <w:pStyle w:val="ListParagraph"/>
        <w:numPr>
          <w:ilvl w:val="0"/>
          <w:numId w:val="2"/>
        </w:numPr>
        <w:spacing w:after="70" w:line="276"/>
      </w:pPr>
      <w:r>
        <w:rPr>
          <w:rFonts w:ascii="Calibri" w:cs="Calibri" w:eastAsia="Calibri" w:hAnsi="Calibri"/>
          <w:b/>
          <w:bCs/>
        </w:rPr>
        <w:t xml:space="preserve">Casos de uso:</w:t>
      </w:r>
      <w:r>
        <w:rPr>
          <w:rFonts w:ascii="Calibri" w:cs="Calibri" w:eastAsia="Calibri" w:hAnsi="Calibri"/>
        </w:rPr>
        <w:t xml:space="preserve"> </w:t>
      </w:r>
      <w:r>
        <w:rPr>
          <w:rFonts w:ascii="Consolas" w:cs="Consolas" w:eastAsia="Consolas" w:hAnsi="Consolas"/>
          <w:sz w:val="20"/>
          <w:szCs w:val="20"/>
        </w:rPr>
        <w:t xml:space="preserve">IServicioAgendamiento</w:t>
      </w:r>
      <w:r>
        <w:rPr>
          <w:rFonts w:ascii="Calibri" w:cs="Calibri" w:eastAsia="Calibri" w:hAnsi="Calibri"/>
        </w:rPr>
        <w:t xml:space="preserve"> e </w:t>
      </w:r>
      <w:r>
        <w:rPr>
          <w:rFonts w:ascii="Consolas" w:cs="Consolas" w:eastAsia="Consolas" w:hAnsi="Consolas"/>
          <w:sz w:val="20"/>
          <w:szCs w:val="20"/>
        </w:rPr>
        <w:t xml:space="preserve">IServicioCancelacion</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b/>
          <w:bCs/>
        </w:rPr>
        <w:t xml:space="preserve">Reglas de negocio:</w:t>
      </w:r>
      <w:r>
        <w:rPr>
          <w:rFonts w:ascii="Calibri" w:cs="Calibri" w:eastAsia="Calibri" w:hAnsi="Calibri"/>
        </w:rPr>
        <w:t xml:space="preserve"> </w:t>
      </w:r>
      <w:r>
        <w:rPr>
          <w:rFonts w:ascii="Consolas" w:cs="Consolas" w:eastAsia="Consolas" w:hAnsi="Consolas"/>
          <w:sz w:val="20"/>
          <w:szCs w:val="20"/>
        </w:rPr>
        <w:t xml:space="preserve">IReglaTarifa</w:t>
      </w:r>
      <w:r>
        <w:rPr>
          <w:rFonts w:ascii="Calibri" w:cs="Calibri" w:eastAsia="Calibri" w:hAnsi="Calibri"/>
        </w:rPr>
        <w:t xml:space="preserve"> (Orden, Aplica, Aplicar), </w:t>
      </w:r>
      <w:r>
        <w:rPr>
          <w:rFonts w:ascii="Consolas" w:cs="Consolas" w:eastAsia="Consolas" w:hAnsi="Consolas"/>
          <w:sz w:val="20"/>
          <w:szCs w:val="20"/>
        </w:rPr>
        <w:t xml:space="preserve">IReglaPenalizacion</w:t>
      </w:r>
      <w:r>
        <w:rPr>
          <w:rFonts w:ascii="Calibri" w:cs="Calibri" w:eastAsia="Calibri" w:hAnsi="Calibri"/>
        </w:rPr>
        <w:t xml:space="preserve"> (Aplica, Calcular), </w:t>
      </w:r>
      <w:r>
        <w:rPr>
          <w:rFonts w:ascii="Consolas" w:cs="Consolas" w:eastAsia="Consolas" w:hAnsi="Consolas"/>
          <w:sz w:val="20"/>
          <w:szCs w:val="20"/>
        </w:rPr>
        <w:t xml:space="preserve">ICalculadorCopago</w:t>
      </w:r>
      <w:r>
        <w:rPr>
          <w:rFonts w:ascii="Calibri" w:cs="Calibri" w:eastAsia="Calibri" w:hAnsi="Calibri"/>
        </w:rPr>
        <w:t xml:space="preserve">, </w:t>
      </w:r>
      <w:r>
        <w:rPr>
          <w:rFonts w:ascii="Consolas" w:cs="Consolas" w:eastAsia="Consolas" w:hAnsi="Consolas"/>
          <w:sz w:val="20"/>
          <w:szCs w:val="20"/>
        </w:rPr>
        <w:t xml:space="preserve">ICalculadorPenalizacion</w:t>
      </w:r>
      <w:r>
        <w:rPr>
          <w:rFonts w:ascii="Calibri" w:cs="Calibri" w:eastAsia="Calibri" w:hAnsi="Calibri"/>
        </w:rPr>
        <w:t xml:space="preserve"> e </w:t>
      </w:r>
      <w:r>
        <w:rPr>
          <w:rFonts w:ascii="Consolas" w:cs="Consolas" w:eastAsia="Consolas" w:hAnsi="Consolas"/>
          <w:sz w:val="20"/>
          <w:szCs w:val="20"/>
        </w:rPr>
        <w:t xml:space="preserve">IValidadorDisponibilidad</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b/>
          <w:bCs/>
        </w:rPr>
        <w:t xml:space="preserve">Puertos hacia infraestructura:</w:t>
      </w:r>
      <w:r>
        <w:rPr>
          <w:rFonts w:ascii="Calibri" w:cs="Calibri" w:eastAsia="Calibri" w:hAnsi="Calibri"/>
        </w:rPr>
        <w:t xml:space="preserve"> </w:t>
      </w:r>
      <w:r>
        <w:rPr>
          <w:rFonts w:ascii="Consolas" w:cs="Consolas" w:eastAsia="Consolas" w:hAnsi="Consolas"/>
          <w:sz w:val="20"/>
          <w:szCs w:val="20"/>
        </w:rPr>
        <w:t xml:space="preserve">ICitaRepositorio</w:t>
      </w:r>
      <w:r>
        <w:rPr>
          <w:rFonts w:ascii="Calibri" w:cs="Calibri" w:eastAsia="Calibri" w:hAnsi="Calibri"/>
        </w:rPr>
        <w:t xml:space="preserve">, </w:t>
      </w:r>
      <w:r>
        <w:rPr>
          <w:rFonts w:ascii="Consolas" w:cs="Consolas" w:eastAsia="Consolas" w:hAnsi="Consolas"/>
          <w:sz w:val="20"/>
          <w:szCs w:val="20"/>
        </w:rPr>
        <w:t xml:space="preserve">ICancelacionRepositorio</w:t>
      </w:r>
      <w:r>
        <w:rPr>
          <w:rFonts w:ascii="Calibri" w:cs="Calibri" w:eastAsia="Calibri" w:hAnsi="Calibri"/>
        </w:rPr>
        <w:t xml:space="preserve">, </w:t>
      </w:r>
      <w:r>
        <w:rPr>
          <w:rFonts w:ascii="Consolas" w:cs="Consolas" w:eastAsia="Consolas" w:hAnsi="Consolas"/>
          <w:sz w:val="20"/>
          <w:szCs w:val="20"/>
        </w:rPr>
        <w:t xml:space="preserve">INotificador</w:t>
      </w:r>
      <w:r>
        <w:rPr>
          <w:rFonts w:ascii="Calibri" w:cs="Calibri" w:eastAsia="Calibri" w:hAnsi="Calibri"/>
        </w:rPr>
        <w:t xml:space="preserve"> e </w:t>
      </w:r>
      <w:r>
        <w:rPr>
          <w:rFonts w:ascii="Consolas" w:cs="Consolas" w:eastAsia="Consolas" w:hAnsi="Consolas"/>
          <w:sz w:val="20"/>
          <w:szCs w:val="20"/>
        </w:rPr>
        <w:t xml:space="preserve">IGeneradorIdentificador</w:t>
      </w:r>
      <w:r>
        <w:rPr>
          <w:rFonts w:ascii="Calibri" w:cs="Calibri" w:eastAsia="Calibri" w:hAnsi="Calibri"/>
        </w:rPr>
        <w:t xml:space="preserve">.</w:t>
      </w:r>
    </w:p>
    <w:p>
      <w:pPr>
        <w:pStyle w:val="ListParagraph"/>
        <w:numPr>
          <w:ilvl w:val="0"/>
          <w:numId w:val="2"/>
        </w:numPr>
        <w:spacing w:after="70" w:line="276"/>
      </w:pPr>
      <w:r>
        <w:rPr>
          <w:rFonts w:ascii="Calibri" w:cs="Calibri" w:eastAsia="Calibri" w:hAnsi="Calibri"/>
          <w:b/>
          <w:bCs/>
        </w:rPr>
        <w:t xml:space="preserve">Soporte:</w:t>
      </w:r>
      <w:r>
        <w:rPr>
          <w:rFonts w:ascii="Calibri" w:cs="Calibri" w:eastAsia="Calibri" w:hAnsi="Calibri"/>
        </w:rPr>
        <w:t xml:space="preserve"> </w:t>
      </w:r>
      <w:r>
        <w:rPr>
          <w:rFonts w:ascii="Consolas" w:cs="Consolas" w:eastAsia="Consolas" w:hAnsi="Consolas"/>
          <w:sz w:val="20"/>
          <w:szCs w:val="20"/>
        </w:rPr>
        <w:t xml:space="preserve">IConstructorMensajes</w:t>
      </w:r>
      <w:r>
        <w:rPr>
          <w:rFonts w:ascii="Calibri" w:cs="Calibri" w:eastAsia="Calibri" w:hAnsi="Calibri"/>
        </w:rPr>
        <w:t xml:space="preserve">, </w:t>
      </w:r>
      <w:r>
        <w:rPr>
          <w:rFonts w:ascii="Consolas" w:cs="Consolas" w:eastAsia="Consolas" w:hAnsi="Consolas"/>
          <w:sz w:val="20"/>
          <w:szCs w:val="20"/>
        </w:rPr>
        <w:t xml:space="preserve">IRegistroReportes</w:t>
      </w:r>
      <w:r>
        <w:rPr>
          <w:rFonts w:ascii="Calibri" w:cs="Calibri" w:eastAsia="Calibri" w:hAnsi="Calibri"/>
        </w:rPr>
        <w:t xml:space="preserve"> e </w:t>
      </w:r>
      <w:r>
        <w:rPr>
          <w:rFonts w:ascii="Consolas" w:cs="Consolas" w:eastAsia="Consolas" w:hAnsi="Consolas"/>
          <w:sz w:val="20"/>
          <w:szCs w:val="20"/>
        </w:rPr>
        <w:t xml:space="preserve">IConsultaReportes</w:t>
      </w:r>
      <w:r>
        <w:rPr>
          <w:rFonts w:ascii="Calibri" w:cs="Calibri" w:eastAsia="Calibri" w:hAnsi="Calibri"/>
        </w:rPr>
        <w:t xml:space="preserve">.</w:t>
      </w:r>
    </w:p>
    <w:p>
      <w:pPr>
        <w:keepNext/>
        <w:spacing w:after="120" w:line="276"/>
      </w:pPr>
      <w:r>
        <w:rPr>
          <w:rFonts w:ascii="Calibri" w:cs="Calibri" w:eastAsia="Calibri" w:hAnsi="Calibri"/>
        </w:rPr>
        <w:t xml:space="preserve">El esquema siguiente resume quién depende de quién. Las flechas apuntan siempre hacia interfaces.</w:t>
      </w:r>
    </w:p>
    <w:p>
      <w:pPr>
        <w:shd w:fill="F2F2F2" w:color="auto" w:val="clear"/>
        <w:spacing w:after="0" w:line="252"/>
        <w:ind w:left="120" w:right="120"/>
      </w:pPr>
      <w:r>
        <w:rPr>
          <w:rFonts w:ascii="Consolas" w:cs="Consolas" w:eastAsia="Consolas" w:hAnsi="Consolas"/>
          <w:sz w:val="18"/>
          <w:szCs w:val="18"/>
        </w:rPr>
        <w:t xml:space="preserve">Program.cs (composition root: único lugar con new sobre implementaciones)</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ServicioAgendamiento ──► ICalculadorCopago, IValidadorDisponibilidad,</w:t>
      </w:r>
    </w:p>
    <w:p>
      <w:pPr>
        <w:shd w:fill="F2F2F2" w:color="auto" w:val="clear"/>
        <w:spacing w:after="0" w:line="252"/>
        <w:ind w:left="120" w:right="120"/>
      </w:pPr>
      <w:r>
        <w:rPr>
          <w:rFonts w:ascii="Consolas" w:cs="Consolas" w:eastAsia="Consolas" w:hAnsi="Consolas"/>
          <w:sz w:val="18"/>
          <w:szCs w:val="18"/>
        </w:rPr>
        <w:t xml:space="preserve">│                            IGeneradorIdentificador, ICitaRepositorio,</w:t>
      </w:r>
    </w:p>
    <w:p>
      <w:pPr>
        <w:shd w:fill="F2F2F2" w:color="auto" w:val="clear"/>
        <w:spacing w:after="0" w:line="252"/>
        <w:ind w:left="120" w:right="120"/>
      </w:pPr>
      <w:r>
        <w:rPr>
          <w:rFonts w:ascii="Consolas" w:cs="Consolas" w:eastAsia="Consolas" w:hAnsi="Consolas"/>
          <w:sz w:val="18"/>
          <w:szCs w:val="18"/>
        </w:rPr>
        <w:t xml:space="preserve">│                            INotificador, IConstructorMensajes, IRegistroReportes</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ServicioCancelacion ───► ICalculadorPenalizacion, ICancelacionRepositorio,</w:t>
      </w:r>
    </w:p>
    <w:p>
      <w:pPr>
        <w:shd w:fill="F2F2F2" w:color="auto" w:val="clear"/>
        <w:spacing w:after="0" w:line="252"/>
        <w:ind w:left="120" w:right="120"/>
      </w:pPr>
      <w:r>
        <w:rPr>
          <w:rFonts w:ascii="Consolas" w:cs="Consolas" w:eastAsia="Consolas" w:hAnsi="Consolas"/>
          <w:sz w:val="18"/>
          <w:szCs w:val="18"/>
        </w:rPr>
        <w:t xml:space="preserve">│                            INotificador, IConstructorMensajes, IRegistroReportes</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CalculadorCopago ──────► IEnumerable&lt;IReglaTarifa&gt; (8 reglas)</w:t>
      </w:r>
    </w:p>
    <w:p>
      <w:pPr>
        <w:shd w:fill="F2F2F2" w:color="auto" w:val="clear"/>
        <w:spacing w:after="0" w:line="252"/>
        <w:ind w:left="120" w:right="120"/>
      </w:pPr>
      <w:r>
        <w:rPr>
          <w:rFonts w:ascii="Consolas" w:cs="Consolas" w:eastAsia="Consolas" w:hAnsi="Consolas"/>
          <w:sz w:val="18"/>
          <w:szCs w:val="18"/>
        </w:rPr>
        <w:t xml:space="preserve">│</w:t>
      </w:r>
    </w:p>
    <w:p>
      <w:pPr>
        <w:shd w:fill="F2F2F2" w:color="auto" w:val="clear"/>
        <w:spacing w:after="0" w:line="252"/>
        <w:ind w:left="120" w:right="120"/>
      </w:pPr>
      <w:r>
        <w:rPr>
          <w:rFonts w:ascii="Consolas" w:cs="Consolas" w:eastAsia="Consolas" w:hAnsi="Consolas"/>
          <w:sz w:val="18"/>
          <w:szCs w:val="18"/>
        </w:rPr>
        <w:t xml:space="preserve">└── CalculadorPenalizacion ► IEnumerable&lt;IReglaPenalizacion&gt; (2 reglas)</w:t>
      </w:r>
    </w:p>
    <w:p>
      <w:pPr>
        <w:spacing w:after="120"/>
      </w:pPr>
    </w:p>
    <w:p>
      <w:pPr>
        <w:spacing w:after="120" w:line="276"/>
      </w:pPr>
      <w:r>
        <w:rPr>
          <w:rFonts w:ascii="Calibri" w:cs="Calibri" w:eastAsia="Calibri" w:hAnsi="Calibri"/>
        </w:rPr>
        <w:t xml:space="preserve">Ningún servicio crea sus colaboradores ni conoce clases concretas. Cambiar el repositorio en memoria por uno de SQL Server, o el notificador por uno que use SMTP y Twilio, se reduce a escribir un adaptador que cumpla el contrato y modificar una línea en </w:t>
      </w:r>
      <w:r>
        <w:rPr>
          <w:rFonts w:ascii="Consolas" w:cs="Consolas" w:eastAsia="Consolas" w:hAnsi="Consolas"/>
          <w:sz w:val="20"/>
          <w:szCs w:val="20"/>
        </w:rPr>
        <w:t xml:space="preserve">Program.cs</w:t>
      </w:r>
      <w:r>
        <w:rPr>
          <w:rFonts w:ascii="Calibri" w:cs="Calibri" w:eastAsia="Calibri" w:hAnsi="Calibri"/>
        </w:rPr>
        <w:t xml:space="preserve">.</w:t>
      </w:r>
    </w:p>
    <w:p>
      <w:pPr>
        <w:spacing w:after="120" w:line="276"/>
      </w:pPr>
      <w:r>
        <w:rPr>
          <w:rFonts w:ascii="Calibri" w:cs="Calibri" w:eastAsia="Calibri" w:hAnsi="Calibri"/>
          <w:b/>
          <w:bCs/>
        </w:rPr>
        <w:t xml:space="preserve">Cálculo del copago.</w:t>
      </w:r>
      <w:r>
        <w:rPr>
          <w:rFonts w:ascii="Calibri" w:cs="Calibri" w:eastAsia="Calibri" w:hAnsi="Calibri"/>
        </w:rPr>
        <w:t xml:space="preserve"> </w:t>
      </w:r>
      <w:r>
        <w:rPr>
          <w:rFonts w:ascii="Consolas" w:cs="Consolas" w:eastAsia="Consolas" w:hAnsi="Consolas"/>
          <w:sz w:val="20"/>
          <w:szCs w:val="20"/>
        </w:rPr>
        <w:t xml:space="preserve">CalculadorCopago</w:t>
      </w:r>
      <w:r>
        <w:rPr>
          <w:rFonts w:ascii="Calibri" w:cs="Calibri" w:eastAsia="Calibri" w:hAnsi="Calibri"/>
        </w:rPr>
        <w:t xml:space="preserve"> parte del costo base de 100 y aplica, en orden ascendente de la propiedad </w:t>
      </w:r>
      <w:r>
        <w:rPr>
          <w:rFonts w:ascii="Consolas" w:cs="Consolas" w:eastAsia="Consolas" w:hAnsi="Consolas"/>
          <w:sz w:val="20"/>
          <w:szCs w:val="20"/>
        </w:rPr>
        <w:t xml:space="preserve">Orden</w:t>
      </w:r>
      <w:r>
        <w:rPr>
          <w:rFonts w:ascii="Calibri" w:cs="Calibri" w:eastAsia="Calibri" w:hAnsi="Calibri"/>
        </w:rPr>
        <w:t xml:space="preserve">, las reglas cuyo método </w:t>
      </w:r>
      <w:r>
        <w:rPr>
          <w:rFonts w:ascii="Consolas" w:cs="Consolas" w:eastAsia="Consolas" w:hAnsi="Consolas"/>
          <w:sz w:val="20"/>
          <w:szCs w:val="20"/>
        </w:rPr>
        <w:t xml:space="preserve">Aplica</w:t>
      </w:r>
      <w:r>
        <w:rPr>
          <w:rFonts w:ascii="Calibri" w:cs="Calibri" w:eastAsia="Calibri" w:hAnsi="Calibri"/>
        </w:rPr>
        <w:t xml:space="preserve"> devuelve verdadero: primero el factor de la especialidad (Orden 10), luego el convenio (20) y al final los recargos de primera vez (30) y radiografía (40). </w:t>
      </w:r>
      <w:r>
        <w:rPr>
          <w:rFonts w:ascii="Calibri" w:cs="Calibri" w:eastAsia="Calibri" w:hAnsi="Calibri"/>
          <w:b/>
          <w:bCs/>
        </w:rPr>
        <w:t xml:space="preserve">Cálculo de la penalización.</w:t>
      </w:r>
      <w:r>
        <w:rPr>
          <w:rFonts w:ascii="Calibri" w:cs="Calibri" w:eastAsia="Calibri" w:hAnsi="Calibri"/>
        </w:rPr>
        <w:t xml:space="preserve"> </w:t>
      </w:r>
      <w:r>
        <w:rPr>
          <w:rFonts w:ascii="Consolas" w:cs="Consolas" w:eastAsia="Consolas" w:hAnsi="Consolas"/>
          <w:sz w:val="20"/>
          <w:szCs w:val="20"/>
        </w:rPr>
        <w:t xml:space="preserve">CalculadorPenalizacion</w:t>
      </w:r>
      <w:r>
        <w:rPr>
          <w:rFonts w:ascii="Calibri" w:cs="Calibri" w:eastAsia="Calibri" w:hAnsi="Calibri"/>
        </w:rPr>
        <w:t xml:space="preserve"> suma el valor de todas las reglas que aplican al contexto de la cancelación.</w:t>
      </w:r>
    </w:p>
    <w:p>
      <w:pPr>
        <w:pStyle w:val="Heading2"/>
        <w:keepNext/>
        <w:spacing w:after="120" w:before="240"/>
      </w:pPr>
      <w:r>
        <w:rPr>
          <w:rFonts w:ascii="Calibri" w:cs="Calibri" w:eastAsia="Calibri" w:hAnsi="Calibri"/>
          <w:b/>
          <w:bCs/>
          <w:color w:val="1F3864"/>
          <w:sz w:val="25"/>
          <w:szCs w:val="25"/>
        </w:rPr>
        <w:t xml:space="preserve">7.5. Cómo se resuelve cada violación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100"/>
        <w:gridCol w:w="526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Principio</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Problema en el legado (sección 4)</w:t>
            </w:r>
          </w:p>
        </w:tc>
        <w:tc>
          <w:tcPr>
            <w:tcW w:type="dxa" w:w="52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Solución en DentalCare.Refactored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SRP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GestorCitasOdontologicas</w:t>
            </w:r>
            <w:r>
              <w:rPr>
                <w:rFonts w:ascii="Calibri" w:cs="Calibri" w:eastAsia="Calibri" w:hAnsi="Calibri"/>
                <w:b w:val="false"/>
                <w:bCs w:val="false"/>
                <w:sz w:val="18"/>
                <w:szCs w:val="18"/>
              </w:rPr>
              <w:t xml:space="preserve"> reúne siete responsabilidades de actores distintos.</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Cada responsabilidad vive en su propia clase. Los servicios solo orquestan su caso de uso: </w:t>
            </w:r>
            <w:r>
              <w:rPr>
                <w:rFonts w:ascii="Consolas" w:cs="Consolas" w:eastAsia="Consolas" w:hAnsi="Consolas"/>
                <w:sz w:val="16"/>
                <w:szCs w:val="16"/>
              </w:rPr>
              <w:t xml:space="preserve">ServicioAgendamiento</w:t>
            </w:r>
            <w:r>
              <w:rPr>
                <w:rFonts w:ascii="Calibri" w:cs="Calibri" w:eastAsia="Calibri" w:hAnsi="Calibri"/>
                <w:b w:val="false"/>
                <w:bCs w:val="false"/>
                <w:sz w:val="18"/>
                <w:szCs w:val="18"/>
              </w:rPr>
              <w:t xml:space="preserve"> tiene un único método público (</w:t>
            </w:r>
            <w:r>
              <w:rPr>
                <w:rFonts w:ascii="Consolas" w:cs="Consolas" w:eastAsia="Consolas" w:hAnsi="Consolas"/>
                <w:sz w:val="16"/>
                <w:szCs w:val="16"/>
              </w:rPr>
              <w:t xml:space="preserve">Agendar</w:t>
            </w:r>
            <w:r>
              <w:rPr>
                <w:rFonts w:ascii="Calibri" w:cs="Calibri" w:eastAsia="Calibri" w:hAnsi="Calibri"/>
                <w:b w:val="false"/>
                <w:bCs w:val="false"/>
                <w:sz w:val="18"/>
                <w:szCs w:val="18"/>
              </w:rPr>
              <w:t xml:space="preserve">) de 17 líneas.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OCP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Cadenas </w:t>
            </w:r>
            <w:r>
              <w:rPr>
                <w:rFonts w:ascii="Consolas" w:cs="Consolas" w:eastAsia="Consolas" w:hAnsi="Consolas"/>
                <w:sz w:val="16"/>
                <w:szCs w:val="16"/>
              </w:rPr>
              <w:t xml:space="preserve">if/else</w:t>
            </w:r>
            <w:r>
              <w:rPr>
                <w:rFonts w:ascii="Calibri" w:cs="Calibri" w:eastAsia="Calibri" w:hAnsi="Calibri"/>
                <w:b w:val="false"/>
                <w:bCs w:val="false"/>
                <w:sz w:val="18"/>
                <w:szCs w:val="18"/>
              </w:rPr>
              <w:t xml:space="preserve"> por especialidad, convenio y penalización.</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Las variantes son reglas (</w:t>
            </w:r>
            <w:r>
              <w:rPr>
                <w:rFonts w:ascii="Consolas" w:cs="Consolas" w:eastAsia="Consolas" w:hAnsi="Consolas"/>
                <w:sz w:val="16"/>
                <w:szCs w:val="16"/>
              </w:rPr>
              <w:t xml:space="preserve">IReglaTarifa</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IReglaPenalizacion</w:t>
            </w:r>
            <w:r>
              <w:rPr>
                <w:rFonts w:ascii="Calibri" w:cs="Calibri" w:eastAsia="Calibri" w:hAnsi="Calibri"/>
                <w:b w:val="false"/>
                <w:bCs w:val="false"/>
                <w:sz w:val="18"/>
                <w:szCs w:val="18"/>
              </w:rPr>
              <w:t xml:space="preserve">). Una especialidad o un convenio nuevo se agrega con una clase y su registro en </w:t>
            </w:r>
            <w:r>
              <w:rPr>
                <w:rFonts w:ascii="Consolas" w:cs="Consolas" w:eastAsia="Consolas" w:hAnsi="Consolas"/>
                <w:sz w:val="16"/>
                <w:szCs w:val="16"/>
              </w:rPr>
              <w:t xml:space="preserve">Program.cs</w:t>
            </w:r>
            <w:r>
              <w:rPr>
                <w:rFonts w:ascii="Calibri" w:cs="Calibri" w:eastAsia="Calibri" w:hAnsi="Calibri"/>
                <w:b w:val="false"/>
                <w:bCs w:val="false"/>
                <w:sz w:val="18"/>
                <w:szCs w:val="18"/>
              </w:rPr>
              <w:t xml:space="preserve">, sin tocar calculadores ni servicios.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LSP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Códigos primitivos en lugar de tipos intercambiables; </w:t>
            </w:r>
            <w:r>
              <w:rPr>
                <w:rFonts w:ascii="Consolas" w:cs="Consolas" w:eastAsia="Consolas" w:hAnsi="Consolas"/>
                <w:sz w:val="16"/>
                <w:szCs w:val="16"/>
              </w:rPr>
              <w:t xml:space="preserve">Exception</w:t>
            </w:r>
            <w:r>
              <w:rPr>
                <w:rFonts w:ascii="Calibri" w:cs="Calibri" w:eastAsia="Calibri" w:hAnsi="Calibri"/>
                <w:b w:val="false"/>
                <w:bCs w:val="false"/>
                <w:sz w:val="18"/>
                <w:szCs w:val="18"/>
              </w:rPr>
              <w:t xml:space="preserve"> genérica.</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Reglas, repositorios y notificadores son sustituibles a través de su contrato y los consumidores nunca preguntan por el tipo concreto. Las clases se declaran </w:t>
            </w:r>
            <w:r>
              <w:rPr>
                <w:rFonts w:ascii="Consolas" w:cs="Consolas" w:eastAsia="Consolas" w:hAnsi="Consolas"/>
                <w:sz w:val="16"/>
                <w:szCs w:val="16"/>
              </w:rPr>
              <w:t xml:space="preserve">sealed</w:t>
            </w:r>
            <w:r>
              <w:rPr>
                <w:rFonts w:ascii="Calibri" w:cs="Calibri" w:eastAsia="Calibri" w:hAnsi="Calibri"/>
                <w:b w:val="false"/>
                <w:bCs w:val="false"/>
                <w:sz w:val="18"/>
                <w:szCs w:val="18"/>
              </w:rPr>
              <w:t xml:space="preserve"> para evitar jerarquías frágiles y el error de disponibilidad tiene su propio tipo.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ISP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EnviarEmailYSms</w:t>
            </w:r>
            <w:r>
              <w:rPr>
                <w:rFonts w:ascii="Calibri" w:cs="Calibri" w:eastAsia="Calibri" w:hAnsi="Calibri"/>
                <w:b w:val="false"/>
                <w:bCs w:val="false"/>
                <w:sz w:val="18"/>
                <w:szCs w:val="18"/>
              </w:rPr>
              <w:t xml:space="preserve"> y </w:t>
            </w:r>
            <w:r>
              <w:rPr>
                <w:rFonts w:ascii="Consolas" w:cs="Consolas" w:eastAsia="Consolas" w:hAnsi="Consolas"/>
                <w:sz w:val="16"/>
                <w:szCs w:val="16"/>
              </w:rPr>
              <w:t xml:space="preserve">SqlServerEjecutor</w:t>
            </w:r>
            <w:r>
              <w:rPr>
                <w:rFonts w:ascii="Calibri" w:cs="Calibri" w:eastAsia="Calibri" w:hAnsi="Calibri"/>
                <w:b w:val="false"/>
                <w:bCs w:val="false"/>
                <w:sz w:val="18"/>
                <w:szCs w:val="18"/>
              </w:rPr>
              <w:t xml:space="preserve"> como contratos amplios.</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Contratos de uno a tres miembros. La persistencia se divide en </w:t>
            </w:r>
            <w:r>
              <w:rPr>
                <w:rFonts w:ascii="Consolas" w:cs="Consolas" w:eastAsia="Consolas" w:hAnsi="Consolas"/>
                <w:sz w:val="16"/>
                <w:szCs w:val="16"/>
              </w:rPr>
              <w:t xml:space="preserve">ICitaRepositorio</w:t>
            </w:r>
            <w:r>
              <w:rPr>
                <w:rFonts w:ascii="Calibri" w:cs="Calibri" w:eastAsia="Calibri" w:hAnsi="Calibri"/>
                <w:b w:val="false"/>
                <w:bCs w:val="false"/>
                <w:sz w:val="18"/>
                <w:szCs w:val="18"/>
              </w:rPr>
              <w:t xml:space="preserve"> e </w:t>
            </w:r>
            <w:r>
              <w:rPr>
                <w:rFonts w:ascii="Consolas" w:cs="Consolas" w:eastAsia="Consolas" w:hAnsi="Consolas"/>
                <w:sz w:val="16"/>
                <w:szCs w:val="16"/>
              </w:rPr>
              <w:t xml:space="preserve">ICancelacionRepositorio</w:t>
            </w:r>
            <w:r>
              <w:rPr>
                <w:rFonts w:ascii="Calibri" w:cs="Calibri" w:eastAsia="Calibri" w:hAnsi="Calibri"/>
                <w:b w:val="false"/>
                <w:bCs w:val="false"/>
                <w:sz w:val="18"/>
                <w:szCs w:val="18"/>
              </w:rPr>
              <w:t xml:space="preserve">, y los reportes en </w:t>
            </w:r>
            <w:r>
              <w:rPr>
                <w:rFonts w:ascii="Consolas" w:cs="Consolas" w:eastAsia="Consolas" w:hAnsi="Consolas"/>
                <w:sz w:val="16"/>
                <w:szCs w:val="16"/>
              </w:rPr>
              <w:t xml:space="preserve">IRegistroReportes</w:t>
            </w:r>
            <w:r>
              <w:rPr>
                <w:rFonts w:ascii="Calibri" w:cs="Calibri" w:eastAsia="Calibri" w:hAnsi="Calibri"/>
                <w:b w:val="false"/>
                <w:bCs w:val="false"/>
                <w:sz w:val="18"/>
                <w:szCs w:val="18"/>
              </w:rPr>
              <w:t xml:space="preserve"> (escritura) e </w:t>
            </w:r>
            <w:r>
              <w:rPr>
                <w:rFonts w:ascii="Consolas" w:cs="Consolas" w:eastAsia="Consolas" w:hAnsi="Consolas"/>
                <w:sz w:val="16"/>
                <w:szCs w:val="16"/>
              </w:rPr>
              <w:t xml:space="preserve">IConsultaReportes</w:t>
            </w:r>
            <w:r>
              <w:rPr>
                <w:rFonts w:ascii="Calibri" w:cs="Calibri" w:eastAsia="Calibri" w:hAnsi="Calibri"/>
                <w:b w:val="false"/>
                <w:bCs w:val="false"/>
                <w:sz w:val="18"/>
                <w:szCs w:val="18"/>
              </w:rPr>
              <w:t xml:space="preserve"> (lectura). </w:t>
            </w:r>
            <w:r>
              <w:rPr>
                <w:rFonts w:ascii="Consolas" w:cs="Consolas" w:eastAsia="Consolas" w:hAnsi="Consolas"/>
                <w:sz w:val="16"/>
                <w:szCs w:val="16"/>
              </w:rPr>
              <w:t xml:space="preserve">ServicioCancelacion</w:t>
            </w:r>
            <w:r>
              <w:rPr>
                <w:rFonts w:ascii="Calibri" w:cs="Calibri" w:eastAsia="Calibri" w:hAnsi="Calibri"/>
                <w:b w:val="false"/>
                <w:bCs w:val="false"/>
                <w:sz w:val="18"/>
                <w:szCs w:val="18"/>
              </w:rPr>
              <w:t xml:space="preserve"> no conoce </w:t>
            </w:r>
            <w:r>
              <w:rPr>
                <w:rFonts w:ascii="Consolas" w:cs="Consolas" w:eastAsia="Consolas" w:hAnsi="Consolas"/>
                <w:sz w:val="16"/>
                <w:szCs w:val="16"/>
              </w:rPr>
              <w:t xml:space="preserve">Guardar</w:t>
            </w:r>
            <w:r>
              <w:rPr>
                <w:rFonts w:ascii="Calibri" w:cs="Calibri" w:eastAsia="Calibri" w:hAnsi="Calibri"/>
                <w:b w:val="false"/>
                <w:bCs w:val="false"/>
                <w:sz w:val="18"/>
                <w:szCs w:val="18"/>
              </w:rPr>
              <w:t xml:space="preserve"> ni las consultas de totales.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DIP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El gestor crea con </w:t>
            </w:r>
            <w:r>
              <w:rPr>
                <w:rFonts w:ascii="Consolas" w:cs="Consolas" w:eastAsia="Consolas" w:hAnsi="Consolas"/>
                <w:sz w:val="16"/>
                <w:szCs w:val="16"/>
              </w:rPr>
              <w:t xml:space="preserve">new</w:t>
            </w:r>
            <w:r>
              <w:rPr>
                <w:rFonts w:ascii="Calibri" w:cs="Calibri" w:eastAsia="Calibri" w:hAnsi="Calibri"/>
                <w:b w:val="false"/>
                <w:bCs w:val="false"/>
                <w:sz w:val="18"/>
                <w:szCs w:val="18"/>
              </w:rPr>
              <w:t xml:space="preserve"> a </w:t>
            </w:r>
            <w:r>
              <w:rPr>
                <w:rFonts w:ascii="Consolas" w:cs="Consolas" w:eastAsia="Consolas" w:hAnsi="Consolas"/>
                <w:sz w:val="16"/>
                <w:szCs w:val="16"/>
              </w:rPr>
              <w:t xml:space="preserve">SqlServerEjecutor</w:t>
            </w:r>
            <w:r>
              <w:rPr>
                <w:rFonts w:ascii="Calibri" w:cs="Calibri" w:eastAsia="Calibri" w:hAnsi="Calibri"/>
                <w:b w:val="false"/>
                <w:bCs w:val="false"/>
                <w:sz w:val="18"/>
                <w:szCs w:val="18"/>
              </w:rPr>
              <w:t xml:space="preserve"> y </w:t>
            </w:r>
            <w:r>
              <w:rPr>
                <w:rFonts w:ascii="Consolas" w:cs="Consolas" w:eastAsia="Consolas" w:hAnsi="Consolas"/>
                <w:sz w:val="16"/>
                <w:szCs w:val="16"/>
              </w:rPr>
              <w:t xml:space="preserve">NotificacionServicio</w:t>
            </w:r>
            <w:r>
              <w:rPr>
                <w:rFonts w:ascii="Calibri" w:cs="Calibri" w:eastAsia="Calibri" w:hAnsi="Calibri"/>
                <w:b w:val="false"/>
                <w:bCs w:val="false"/>
                <w:sz w:val="18"/>
                <w:szCs w:val="18"/>
              </w:rPr>
              <w:t xml:space="preserve">; hay credenciales incrustadas.</w:t>
            </w:r>
          </w:p>
        </w:tc>
        <w:tc>
          <w:tcPr>
            <w:tcW w:type="dxa" w:w="5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Los servicios reciben abstracciones por constructor. El código de negocio deja de depender de </w:t>
            </w:r>
            <w:r>
              <w:rPr>
                <w:rFonts w:ascii="Consolas" w:cs="Consolas" w:eastAsia="Consolas" w:hAnsi="Consolas"/>
                <w:sz w:val="16"/>
                <w:szCs w:val="16"/>
              </w:rPr>
              <w:t xml:space="preserve">System.Data.SqlClient</w:t>
            </w:r>
            <w:r>
              <w:rPr>
                <w:rFonts w:ascii="Calibri" w:cs="Calibri" w:eastAsia="Calibri" w:hAnsi="Calibri"/>
                <w:b w:val="false"/>
                <w:bCs w:val="false"/>
                <w:sz w:val="18"/>
                <w:szCs w:val="18"/>
              </w:rPr>
              <w:t xml:space="preserve"> y </w:t>
            </w:r>
            <w:r>
              <w:rPr>
                <w:rFonts w:ascii="Consolas" w:cs="Consolas" w:eastAsia="Consolas" w:hAnsi="Consolas"/>
                <w:sz w:val="16"/>
                <w:szCs w:val="16"/>
              </w:rPr>
              <w:t xml:space="preserve">System.Net.Mail</w:t>
            </w:r>
            <w:r>
              <w:rPr>
                <w:rFonts w:ascii="Calibri" w:cs="Calibri" w:eastAsia="Calibri" w:hAnsi="Calibri"/>
                <w:b w:val="false"/>
                <w:bCs w:val="false"/>
                <w:sz w:val="18"/>
                <w:szCs w:val="18"/>
              </w:rPr>
              <w:t xml:space="preserve">, y las credenciales desaparecen del código.</w:t>
            </w:r>
          </w:p>
        </w:tc>
      </w:tr>
    </w:tbl>
    <w:p>
      <w:pPr>
        <w:pStyle w:val="Heading2"/>
        <w:keepNext/>
        <w:spacing w:after="120" w:before="240"/>
      </w:pPr>
      <w:r>
        <w:rPr>
          <w:rFonts w:ascii="Calibri" w:cs="Calibri" w:eastAsia="Calibri" w:hAnsi="Calibri"/>
          <w:b/>
          <w:bCs/>
          <w:color w:val="1F3864"/>
          <w:sz w:val="25"/>
          <w:szCs w:val="25"/>
        </w:rPr>
        <w:t xml:space="preserve">7.6. Verificación funcional</w:t>
      </w:r>
    </w:p>
    <w:p>
      <w:pPr>
        <w:keepNext/>
        <w:spacing w:after="120" w:line="276"/>
      </w:pPr>
      <w:r>
        <w:rPr>
          <w:rFonts w:ascii="Calibri" w:cs="Calibri" w:eastAsia="Calibri" w:hAnsi="Calibri"/>
        </w:rPr>
        <w:t xml:space="preserve">La solución compila sobre .NET 10 y </w:t>
      </w:r>
      <w:r>
        <w:rPr>
          <w:rFonts w:ascii="Consolas" w:cs="Consolas" w:eastAsia="Consolas" w:hAnsi="Consolas"/>
          <w:sz w:val="20"/>
          <w:szCs w:val="20"/>
        </w:rPr>
        <w:t xml:space="preserve">Program.cs</w:t>
      </w:r>
      <w:r>
        <w:rPr>
          <w:rFonts w:ascii="Calibri" w:cs="Calibri" w:eastAsia="Calibri" w:hAnsi="Calibri"/>
        </w:rPr>
        <w:t xml:space="preserve"> ejecuta el mismo escenario de la sección 3: paciente de convenio EPS en primera visita, odontólogo de Cirugía, radiografía requerida y cancelación con 12 horas de anticipación. La salida de </w:t>
      </w:r>
      <w:r>
        <w:rPr>
          <w:rFonts w:ascii="Consolas" w:cs="Consolas" w:eastAsia="Consolas" w:hAnsi="Consolas"/>
          <w:sz w:val="20"/>
          <w:szCs w:val="20"/>
        </w:rPr>
        <w:t xml:space="preserve">dotnet run</w:t>
      </w:r>
      <w:r>
        <w:rPr>
          <w:rFonts w:ascii="Calibri" w:cs="Calibri" w:eastAsia="Calibri" w:hAnsi="Calibri"/>
        </w:rPr>
        <w:t xml:space="preserve"> es la siguiente:</w:t>
      </w:r>
    </w:p>
    <w:p>
      <w:pPr>
        <w:shd w:fill="F2F2F2" w:color="auto" w:val="clear"/>
        <w:spacing w:after="0" w:line="252"/>
        <w:ind w:left="120" w:right="120"/>
      </w:pPr>
      <w:r>
        <w:rPr>
          <w:rFonts w:ascii="Consolas" w:cs="Consolas" w:eastAsia="Consolas" w:hAnsi="Consolas"/>
          <w:sz w:val="18"/>
          <w:szCs w:val="18"/>
        </w:rPr>
        <w:t xml:space="preserve">Cita agendada: 40666ea2, Copago: $ 130,00</w:t>
      </w:r>
    </w:p>
    <w:p>
      <w:pPr>
        <w:shd w:fill="F2F2F2" w:color="auto" w:val="clear"/>
        <w:spacing w:after="0" w:line="252"/>
        <w:ind w:left="120" w:right="120"/>
      </w:pPr>
      <w:r>
        <w:rPr>
          <w:rFonts w:ascii="Consolas" w:cs="Consolas" w:eastAsia="Consolas" w:hAnsi="Consolas"/>
          <w:sz w:val="18"/>
          <w:szCs w:val="18"/>
        </w:rPr>
        <w:t xml:space="preserve">Cita cancelada: 40666ea2, Penalización aplicada: $ 90,00</w:t>
      </w:r>
    </w:p>
    <w:p>
      <w:pPr>
        <w:shd w:fill="F2F2F2" w:color="auto" w:val="clear"/>
        <w:spacing w:after="0" w:line="252"/>
        <w:ind w:left="120" w:right="120"/>
      </w:pPr>
      <w:r>
        <w:rPr>
          <w:rFonts w:ascii="Consolas" w:cs="Consolas" w:eastAsia="Consolas" w:hAnsi="Consolas"/>
          <w:sz w:val="18"/>
          <w:szCs w:val="18"/>
        </w:rPr>
        <w:t xml:space="preserve">Total recaudado (memoria): $ 130,00</w:t>
      </w:r>
    </w:p>
    <w:p>
      <w:pPr>
        <w:shd w:fill="F2F2F2" w:color="auto" w:val="clear"/>
        <w:spacing w:after="0" w:line="252"/>
        <w:ind w:left="120" w:right="120"/>
      </w:pPr>
      <w:r>
        <w:rPr>
          <w:rFonts w:ascii="Consolas" w:cs="Consolas" w:eastAsia="Consolas" w:hAnsi="Consolas"/>
          <w:sz w:val="18"/>
          <w:szCs w:val="18"/>
        </w:rPr>
        <w:t xml:space="preserve">Total canceladas (memoria): 1</w:t>
      </w:r>
    </w:p>
    <w:p>
      <w:pPr>
        <w:spacing w:after="120"/>
      </w:pPr>
    </w:p>
    <w:p>
      <w:pPr>
        <w:spacing w:after="120" w:line="276"/>
      </w:pPr>
      <w:r>
        <w:rPr>
          <w:rFonts w:ascii="Calibri" w:cs="Calibri" w:eastAsia="Calibri" w:hAnsi="Calibri"/>
        </w:rPr>
        <w:t xml:space="preserve">Los valores de aceptación (130,00 y 90,00) coinciden con la línea base. El comportamiento de los totales también se mantiene: el recaudo no se descuenta al cancelar, igual que en el legado (hallazgo 4). Para completar la verificación se comparó cada regla por separado.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860"/>
        <w:gridCol w:w="110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Regla</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Legado</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Refactorizado</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¿Equivale?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Factores por especialidad (×1,2; ×1,8; ×2,5; ×1,1)</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L.22–37</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Tarifa*</w:t>
            </w:r>
            <w:r>
              <w:rPr>
                <w:rFonts w:ascii="Calibri" w:cs="Calibri" w:eastAsia="Calibri" w:hAnsi="Calibri"/>
                <w:b w:val="false"/>
                <w:bCs w:val="false"/>
                <w:sz w:val="18"/>
                <w:szCs w:val="18"/>
              </w:rPr>
              <w:t xml:space="preserve"> con Orden 10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Sí</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EPS: el paciente paga el 30 %</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L.40–43: copago × 0,30</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DescuentoEps</w:t>
            </w:r>
            <w:r>
              <w:rPr>
                <w:rFonts w:ascii="Calibri" w:cs="Calibri" w:eastAsia="Calibri" w:hAnsi="Calibri"/>
                <w:b w:val="false"/>
                <w:bCs w:val="false"/>
                <w:sz w:val="18"/>
                <w:szCs w:val="18"/>
              </w:rPr>
              <w:t xml:space="preserve">: valor × 0,30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Sí</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Prepagada: el paciente paga el 10 %</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L.44–47: copago × 0,10</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DescuentoPrepagada</w:t>
            </w:r>
            <w:r>
              <w:rPr>
                <w:rFonts w:ascii="Calibri" w:cs="Calibri" w:eastAsia="Calibri" w:hAnsi="Calibri"/>
                <w:b w:val="false"/>
                <w:bCs w:val="false"/>
                <w:sz w:val="18"/>
                <w:szCs w:val="18"/>
              </w:rPr>
              <w:t xml:space="preserve">: valor × 0,10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Sí</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Primera vez (+20) y radiografía (+35)</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L.49–57</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RecargoPrimeraVez</w:t>
            </w:r>
            <w:r>
              <w:rPr>
                <w:rFonts w:ascii="Calibri" w:cs="Calibri" w:eastAsia="Calibri" w:hAnsi="Calibri"/>
                <w:b w:val="false"/>
                <w:bCs w:val="false"/>
                <w:sz w:val="18"/>
                <w:szCs w:val="18"/>
              </w:rPr>
              <w:t xml:space="preserve">, </w:t>
            </w:r>
            <w:r>
              <w:rPr>
                <w:rFonts w:ascii="Consolas" w:cs="Consolas" w:eastAsia="Consolas" w:hAnsi="Consolas"/>
                <w:sz w:val="16"/>
                <w:szCs w:val="16"/>
              </w:rPr>
              <w:t xml:space="preserve">RecargoRadiografia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Sí</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Cancelación con menos de 24 h (50)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L.79–81</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PenalizacionCancelacionTardia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Sí</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Recargo de cancelación en Cirugía (+40)</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L.81–82</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RecargoCancelacionTardiaCirugia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Sí</w:t>
            </w:r>
          </w:p>
        </w:tc>
      </w:tr>
    </w:tbl>
    <w:p>
      <w:pPr>
        <w:spacing w:after="120"/>
      </w:pPr>
    </w:p>
    <w:p>
      <w:pPr>
        <w:spacing w:after="120" w:line="276"/>
      </w:pPr>
      <w:r>
        <w:rPr>
          <w:rFonts w:ascii="Calibri" w:cs="Calibri" w:eastAsia="Calibri" w:hAnsi="Calibri"/>
        </w:rPr>
        <w:t xml:space="preserve">El escenario de aceptación usa convenio EPS, de modo que la regla de Prepagada se contrastó aparte: para una cita de Cirugía, ambas versiones calculan 25,00 antes de recargos (250,00 × 0,10).</w:t>
      </w:r>
    </w:p>
    <w:p>
      <w:pPr>
        <w:pStyle w:val="Heading1"/>
        <w:keepNext/>
        <w:spacing w:after="160" w:before="360"/>
      </w:pPr>
      <w:r>
        <w:rPr>
          <w:rFonts w:ascii="Calibri" w:cs="Calibri" w:eastAsia="Calibri" w:hAnsi="Calibri"/>
          <w:b/>
          <w:bCs/>
          <w:color w:val="1F3864"/>
          <w:sz w:val="30"/>
          <w:szCs w:val="30"/>
        </w:rPr>
        <w:t xml:space="preserve">8. Fase 3 — Recálculo de métricas e impacto cuantitativo</w:t>
      </w:r>
    </w:p>
    <w:p>
      <w:pPr>
        <w:spacing w:after="120" w:line="276"/>
      </w:pPr>
      <w:r>
        <w:rPr>
          <w:rFonts w:ascii="Calibri" w:cs="Calibri" w:eastAsia="Calibri" w:hAnsi="Calibri"/>
        </w:rPr>
        <w:t xml:space="preserve">Se aplican los criterios de la sección 6.1. Como </w:t>
      </w:r>
      <w:r>
        <w:rPr>
          <w:rFonts w:ascii="Consolas" w:cs="Consolas" w:eastAsia="Consolas" w:hAnsi="Consolas"/>
          <w:sz w:val="20"/>
          <w:szCs w:val="20"/>
        </w:rPr>
        <w:t xml:space="preserve">GestorCitasOdontologicas</w:t>
      </w:r>
      <w:r>
        <w:rPr>
          <w:rFonts w:ascii="Calibri" w:cs="Calibri" w:eastAsia="Calibri" w:hAnsi="Calibri"/>
        </w:rPr>
        <w:t xml:space="preserve"> ya no existe, la comparación se hace en tres niveles: los dos servicios que heredan su papel de orquestación (</w:t>
      </w:r>
      <w:r>
        <w:rPr>
          <w:rFonts w:ascii="Consolas" w:cs="Consolas" w:eastAsia="Consolas" w:hAnsi="Consolas"/>
          <w:sz w:val="20"/>
          <w:szCs w:val="20"/>
        </w:rPr>
        <w:t xml:space="preserve">ServicioAgendamiento</w:t>
      </w:r>
      <w:r>
        <w:rPr>
          <w:rFonts w:ascii="Calibri" w:cs="Calibri" w:eastAsia="Calibri" w:hAnsi="Calibri"/>
        </w:rPr>
        <w:t xml:space="preserve"> y </w:t>
      </w:r>
      <w:r>
        <w:rPr>
          <w:rFonts w:ascii="Consolas" w:cs="Consolas" w:eastAsia="Consolas" w:hAnsi="Consolas"/>
          <w:sz w:val="20"/>
          <w:szCs w:val="20"/>
        </w:rPr>
        <w:t xml:space="preserve">ServicioCancelacion</w:t>
      </w:r>
      <w:r>
        <w:rPr>
          <w:rFonts w:ascii="Calibri" w:cs="Calibri" w:eastAsia="Calibri" w:hAnsi="Calibri"/>
        </w:rPr>
        <w:t xml:space="preserve">), el resto de las clases con estado, y la solución completa con sus paquetes (namespaces), que es el nivel para el que Martin (2003) definió originalmente I, A y D.</w:t>
      </w:r>
    </w:p>
    <w:p>
      <w:pPr>
        <w:pStyle w:val="Heading2"/>
        <w:keepNext/>
        <w:spacing w:after="120" w:before="240"/>
      </w:pPr>
      <w:r>
        <w:rPr>
          <w:rFonts w:ascii="Calibri" w:cs="Calibri" w:eastAsia="Calibri" w:hAnsi="Calibri"/>
          <w:b/>
          <w:bCs/>
          <w:color w:val="1F3864"/>
          <w:sz w:val="25"/>
          <w:szCs w:val="25"/>
        </w:rPr>
        <w:t xml:space="preserve">8.1. Criterios adicionales de medición</w:t>
      </w:r>
    </w:p>
    <w:p>
      <w:pPr>
        <w:pStyle w:val="ListParagraph"/>
        <w:numPr>
          <w:ilvl w:val="0"/>
          <w:numId w:val="2"/>
        </w:numPr>
        <w:spacing w:after="70" w:line="276"/>
      </w:pPr>
      <w:r>
        <w:rPr>
          <w:rFonts w:ascii="Calibri" w:cs="Calibri" w:eastAsia="Calibri" w:hAnsi="Calibri"/>
          <w:b/>
          <w:bCs/>
        </w:rPr>
        <w:t xml:space="preserve">Métodos (m):</w:t>
      </w:r>
      <w:r>
        <w:rPr>
          <w:rFonts w:ascii="Calibri" w:cs="Calibri" w:eastAsia="Calibri" w:hAnsi="Calibri"/>
        </w:rPr>
        <w:t xml:space="preserve"> incluye los métodos y las propiedades con lógica o que implementan un miembro de interfaz (por ejemplo, </w:t>
      </w:r>
      <w:r>
        <w:rPr>
          <w:rFonts w:ascii="Consolas" w:cs="Consolas" w:eastAsia="Consolas" w:hAnsi="Consolas"/>
          <w:sz w:val="20"/>
          <w:szCs w:val="20"/>
        </w:rPr>
        <w:t xml:space="preserve">Orden</w:t>
      </w:r>
      <w:r>
        <w:rPr>
          <w:rFonts w:ascii="Calibri" w:cs="Calibri" w:eastAsia="Calibri" w:hAnsi="Calibri"/>
        </w:rPr>
        <w:t xml:space="preserve"> en las reglas de tarifa). Se excluyen los constructores y las propiedades automáticas de datos, igual que en la línea base.</w:t>
      </w:r>
    </w:p>
    <w:p>
      <w:pPr>
        <w:pStyle w:val="ListParagraph"/>
        <w:numPr>
          <w:ilvl w:val="0"/>
          <w:numId w:val="2"/>
        </w:numPr>
        <w:spacing w:after="70" w:line="276"/>
      </w:pPr>
      <w:r>
        <w:rPr>
          <w:rFonts w:ascii="Calibri" w:cs="Calibri" w:eastAsia="Calibri" w:hAnsi="Calibri"/>
          <w:b/>
          <w:bCs/>
        </w:rPr>
        <w:t xml:space="preserve">Atributos (a):</w:t>
      </w:r>
      <w:r>
        <w:rPr>
          <w:rFonts w:ascii="Calibri" w:cs="Calibri" w:eastAsia="Calibri" w:hAnsi="Calibri"/>
        </w:rPr>
        <w:t xml:space="preserve"> campos de instancia. Las constantes (</w:t>
      </w:r>
      <w:r>
        <w:rPr>
          <w:rFonts w:ascii="Consolas" w:cs="Consolas" w:eastAsia="Consolas" w:hAnsi="Consolas"/>
          <w:sz w:val="20"/>
          <w:szCs w:val="20"/>
        </w:rPr>
        <w:t xml:space="preserve">const</w:t>
      </w:r>
      <w:r>
        <w:rPr>
          <w:rFonts w:ascii="Calibri" w:cs="Calibri" w:eastAsia="Calibri" w:hAnsi="Calibri"/>
        </w:rPr>
        <w:t xml:space="preserve">) no son estado de instancia y se excluyen.</w:t>
      </w:r>
    </w:p>
    <w:p>
      <w:pPr>
        <w:pStyle w:val="ListParagraph"/>
        <w:numPr>
          <w:ilvl w:val="0"/>
          <w:numId w:val="2"/>
        </w:numPr>
        <w:spacing w:after="70" w:line="276"/>
      </w:pPr>
      <w:r>
        <w:rPr>
          <w:rFonts w:ascii="Calibri" w:cs="Calibri" w:eastAsia="Calibri" w:hAnsi="Calibri"/>
          <w:b/>
          <w:bCs/>
        </w:rPr>
        <w:t xml:space="preserve">LCOM96b en clases sin atributos:</w:t>
      </w:r>
      <w:r>
        <w:rPr>
          <w:rFonts w:ascii="Calibri" w:cs="Calibri" w:eastAsia="Calibri" w:hAnsi="Calibri"/>
        </w:rPr>
        <w:t xml:space="preserve"> las reglas, el validador, el generador y el constructor de mensajes no tienen estado que fragmentar; se reportan como «no aplica» y no entran en el promedio.</w:t>
      </w:r>
    </w:p>
    <w:p>
      <w:pPr>
        <w:pStyle w:val="ListParagraph"/>
        <w:numPr>
          <w:ilvl w:val="0"/>
          <w:numId w:val="2"/>
        </w:numPr>
        <w:spacing w:after="70" w:line="276"/>
      </w:pPr>
      <w:r>
        <w:rPr>
          <w:rFonts w:ascii="Calibri" w:cs="Calibri" w:eastAsia="Calibri" w:hAnsi="Calibri"/>
          <w:b/>
          <w:bCs/>
        </w:rPr>
        <w:t xml:space="preserve">Ca y Ce:</w:t>
      </w:r>
      <w:r>
        <w:rPr>
          <w:rFonts w:ascii="Calibri" w:cs="Calibri" w:eastAsia="Calibri" w:hAnsi="Calibri"/>
        </w:rPr>
        <w:t xml:space="preserve"> se cuentan los tipos de la solución nombrados de forma explícita en el código, incluida la interfaz que la clase implementa. Los tipos del framework se excluyen.</w:t>
      </w:r>
    </w:p>
    <w:p>
      <w:pPr>
        <w:pStyle w:val="ListParagraph"/>
        <w:numPr>
          <w:ilvl w:val="0"/>
          <w:numId w:val="2"/>
        </w:numPr>
        <w:spacing w:after="70" w:line="276"/>
      </w:pPr>
      <w:r>
        <w:rPr>
          <w:rFonts w:ascii="Calibri" w:cs="Calibri" w:eastAsia="Calibri" w:hAnsi="Calibri"/>
          <w:b/>
          <w:bCs/>
        </w:rPr>
        <w:t xml:space="preserve">Abstracción (A):</w:t>
      </w:r>
      <w:r>
        <w:rPr>
          <w:rFonts w:ascii="Calibri" w:cs="Calibri" w:eastAsia="Calibri" w:hAnsi="Calibri"/>
        </w:rPr>
        <w:t xml:space="preserve"> se calcula sobre los tipos de la solución (interfaces frente a total de tipos), con la proporción por miembros como complemento. En el legado ambas dan 0,00.</w:t>
      </w:r>
    </w:p>
    <w:p>
      <w:pPr>
        <w:pStyle w:val="Heading2"/>
        <w:keepNext/>
        <w:spacing w:after="120" w:before="240"/>
      </w:pPr>
      <w:r>
        <w:rPr>
          <w:rFonts w:ascii="Calibri" w:cs="Calibri" w:eastAsia="Calibri" w:hAnsi="Calibri"/>
          <w:b/>
          <w:bCs/>
          <w:color w:val="1F3864"/>
          <w:sz w:val="25"/>
          <w:szCs w:val="25"/>
        </w:rPr>
        <w:t xml:space="preserve">8.2. LCOM96b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160"/>
        <w:gridCol w:w="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Clase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a y m</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Desarrollo</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LCOM96b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ServicioAgendamiento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7; m = 1 (</w:t>
            </w:r>
            <w:r>
              <w:rPr>
                <w:rFonts w:ascii="Consolas" w:cs="Consolas" w:eastAsia="Consolas" w:hAnsi="Consolas"/>
                <w:sz w:val="16"/>
                <w:szCs w:val="16"/>
              </w:rPr>
              <w:t xml:space="preserve">Agendar</w:t>
            </w:r>
            <w:r>
              <w:rPr>
                <w:rFonts w:ascii="Calibri" w:cs="Calibri" w:eastAsia="Calibri" w:hAnsi="Calibri"/>
                <w:b w:val="false"/>
                <w:bCs w:val="false"/>
                <w:sz w:val="18"/>
                <w:szCs w:val="18"/>
              </w:rPr>
              <w:t xml:space="preserve">)</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Los 7 campos se usan en </w:t>
            </w:r>
            <w:r>
              <w:rPr>
                <w:rFonts w:ascii="Consolas" w:cs="Consolas" w:eastAsia="Consolas" w:hAnsi="Consolas"/>
                <w:sz w:val="16"/>
                <w:szCs w:val="16"/>
              </w:rPr>
              <w:t xml:space="preserve">Agendar</w:t>
            </w:r>
            <w:r>
              <w:rPr>
                <w:rFonts w:ascii="Calibri" w:cs="Calibri" w:eastAsia="Calibri" w:hAnsi="Calibri"/>
                <w:b w:val="false"/>
                <w:bCs w:val="false"/>
                <w:sz w:val="18"/>
                <w:szCs w:val="18"/>
              </w:rPr>
              <w:t xml:space="preserve">: μ = 1 y (1 − 1) / 1 = 0 para cada uno. (1 / 7) × 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ServicioCancelacion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5; m = 1 (</w:t>
            </w:r>
            <w:r>
              <w:rPr>
                <w:rFonts w:ascii="Consolas" w:cs="Consolas" w:eastAsia="Consolas" w:hAnsi="Consolas"/>
                <w:sz w:val="16"/>
                <w:szCs w:val="16"/>
              </w:rPr>
              <w:t xml:space="preserve">Cancelar</w:t>
            </w:r>
            <w:r>
              <w:rPr>
                <w:rFonts w:ascii="Calibri" w:cs="Calibri" w:eastAsia="Calibri" w:hAnsi="Calibri"/>
                <w:b w:val="false"/>
                <w:bCs w:val="false"/>
                <w:sz w:val="18"/>
                <w:szCs w:val="18"/>
              </w:rPr>
              <w:t xml:space="preserve">)</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Los 5 campos se usan en </w:t>
            </w:r>
            <w:r>
              <w:rPr>
                <w:rFonts w:ascii="Consolas" w:cs="Consolas" w:eastAsia="Consolas" w:hAnsi="Consolas"/>
                <w:sz w:val="16"/>
                <w:szCs w:val="16"/>
              </w:rPr>
              <w:t xml:space="preserve">Cancelar</w:t>
            </w:r>
            <w:r>
              <w:rPr>
                <w:rFonts w:ascii="Calibri" w:cs="Calibri" w:eastAsia="Calibri" w:hAnsi="Calibri"/>
                <w:b w:val="false"/>
                <w:bCs w:val="false"/>
                <w:sz w:val="18"/>
                <w:szCs w:val="18"/>
              </w:rPr>
              <w:t xml:space="preserve">: (1 / 5) × 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CalculadorCopago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1 (</w:t>
            </w:r>
            <w:r>
              <w:rPr>
                <w:rFonts w:ascii="Consolas" w:cs="Consolas" w:eastAsia="Consolas" w:hAnsi="Consolas"/>
                <w:sz w:val="16"/>
                <w:szCs w:val="16"/>
              </w:rPr>
              <w:t xml:space="preserve">_reglas</w:t>
            </w:r>
            <w:r>
              <w:rPr>
                <w:rFonts w:ascii="Calibri" w:cs="Calibri" w:eastAsia="Calibri" w:hAnsi="Calibri"/>
                <w:b w:val="false"/>
                <w:bCs w:val="false"/>
                <w:sz w:val="18"/>
                <w:szCs w:val="18"/>
              </w:rPr>
              <w:t xml:space="preserve">); m = 1</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μ = 1 → (1 − 1) / 1 = 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CalculadorPenalizacion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1 (</w:t>
            </w:r>
            <w:r>
              <w:rPr>
                <w:rFonts w:ascii="Consolas" w:cs="Consolas" w:eastAsia="Consolas" w:hAnsi="Consolas"/>
                <w:sz w:val="16"/>
                <w:szCs w:val="16"/>
              </w:rPr>
              <w:t xml:space="preserve">_reglas</w:t>
            </w:r>
            <w:r>
              <w:rPr>
                <w:rFonts w:ascii="Calibri" w:cs="Calibri" w:eastAsia="Calibri" w:hAnsi="Calibri"/>
                <w:b w:val="false"/>
                <w:bCs w:val="false"/>
                <w:sz w:val="18"/>
                <w:szCs w:val="18"/>
              </w:rPr>
              <w:t xml:space="preserve">); m = 1</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μ = 1 → (1 − 1) / 1 = 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NotificadorEnMemoria</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1 (</w:t>
            </w:r>
            <w:r>
              <w:rPr>
                <w:rFonts w:ascii="Consolas" w:cs="Consolas" w:eastAsia="Consolas" w:hAnsi="Consolas"/>
                <w:sz w:val="16"/>
                <w:szCs w:val="16"/>
              </w:rPr>
              <w:t xml:space="preserve">_mensajes</w:t>
            </w:r>
            <w:r>
              <w:rPr>
                <w:rFonts w:ascii="Calibri" w:cs="Calibri" w:eastAsia="Calibri" w:hAnsi="Calibri"/>
                <w:b w:val="false"/>
                <w:bCs w:val="false"/>
                <w:sz w:val="18"/>
                <w:szCs w:val="18"/>
              </w:rPr>
              <w:t xml:space="preserve">); m = 2</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Notificar</w:t>
            </w:r>
            <w:r>
              <w:rPr>
                <w:rFonts w:ascii="Calibri" w:cs="Calibri" w:eastAsia="Calibri" w:hAnsi="Calibri"/>
                <w:b w:val="false"/>
                <w:bCs w:val="false"/>
                <w:sz w:val="18"/>
                <w:szCs w:val="18"/>
              </w:rPr>
              <w:t xml:space="preserve"> y </w:t>
            </w:r>
            <w:r>
              <w:rPr>
                <w:rFonts w:ascii="Consolas" w:cs="Consolas" w:eastAsia="Consolas" w:hAnsi="Consolas"/>
                <w:sz w:val="16"/>
                <w:szCs w:val="16"/>
              </w:rPr>
              <w:t xml:space="preserve">Mensajes</w:t>
            </w:r>
            <w:r>
              <w:rPr>
                <w:rFonts w:ascii="Calibri" w:cs="Calibri" w:eastAsia="Calibri" w:hAnsi="Calibri"/>
                <w:b w:val="false"/>
                <w:bCs w:val="false"/>
                <w:sz w:val="18"/>
                <w:szCs w:val="18"/>
              </w:rPr>
              <w:t xml:space="preserve"> usan </w:t>
            </w:r>
            <w:r>
              <w:rPr>
                <w:rFonts w:ascii="Consolas" w:cs="Consolas" w:eastAsia="Consolas" w:hAnsi="Consolas"/>
                <w:sz w:val="16"/>
                <w:szCs w:val="16"/>
              </w:rPr>
              <w:t xml:space="preserve">_mensajes</w:t>
            </w:r>
            <w:r>
              <w:rPr>
                <w:rFonts w:ascii="Calibri" w:cs="Calibri" w:eastAsia="Calibri" w:hAnsi="Calibri"/>
                <w:b w:val="false"/>
                <w:bCs w:val="false"/>
                <w:sz w:val="18"/>
                <w:szCs w:val="18"/>
              </w:rPr>
              <w:t xml:space="preserve">: μ = 2 → (2 − 2) / 2 = 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0,00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ReporteCitasEnMemoria</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2; m = 4</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_totalRecaudado</w:t>
            </w:r>
            <w:r>
              <w:rPr>
                <w:rFonts w:ascii="Calibri" w:cs="Calibri" w:eastAsia="Calibri" w:hAnsi="Calibri"/>
                <w:b w:val="false"/>
                <w:bCs w:val="false"/>
                <w:sz w:val="18"/>
                <w:szCs w:val="18"/>
              </w:rPr>
              <w:t xml:space="preserve">: μ = 2 → 0,50. </w:t>
            </w:r>
            <w:r>
              <w:rPr>
                <w:rFonts w:ascii="Consolas" w:cs="Consolas" w:eastAsia="Consolas" w:hAnsi="Consolas"/>
                <w:sz w:val="16"/>
                <w:szCs w:val="16"/>
              </w:rPr>
              <w:t xml:space="preserve">_totalCanceladas</w:t>
            </w:r>
            <w:r>
              <w:rPr>
                <w:rFonts w:ascii="Calibri" w:cs="Calibri" w:eastAsia="Calibri" w:hAnsi="Calibri"/>
                <w:b w:val="false"/>
                <w:bCs w:val="false"/>
                <w:sz w:val="18"/>
                <w:szCs w:val="18"/>
              </w:rPr>
              <w:t xml:space="preserve">: μ = 2 → 0,50. (1 / 2) × 1,00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0,50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RepositorioEnMemoria</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 = 2; m = 4</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6"/>
                <w:szCs w:val="16"/>
              </w:rPr>
              <w:t xml:space="preserve">_citas</w:t>
            </w:r>
            <w:r>
              <w:rPr>
                <w:rFonts w:ascii="Calibri" w:cs="Calibri" w:eastAsia="Calibri" w:hAnsi="Calibri"/>
                <w:b w:val="false"/>
                <w:bCs w:val="false"/>
                <w:sz w:val="18"/>
                <w:szCs w:val="18"/>
              </w:rPr>
              <w:t xml:space="preserve">: μ = 2 → 0,50. </w:t>
            </w:r>
            <w:r>
              <w:rPr>
                <w:rFonts w:ascii="Consolas" w:cs="Consolas" w:eastAsia="Consolas" w:hAnsi="Consolas"/>
                <w:sz w:val="16"/>
                <w:szCs w:val="16"/>
              </w:rPr>
              <w:t xml:space="preserve">_cancelaciones</w:t>
            </w:r>
            <w:r>
              <w:rPr>
                <w:rFonts w:ascii="Calibri" w:cs="Calibri" w:eastAsia="Calibri" w:hAnsi="Calibri"/>
                <w:b w:val="false"/>
                <w:bCs w:val="false"/>
                <w:sz w:val="18"/>
                <w:szCs w:val="18"/>
              </w:rPr>
              <w:t xml:space="preserve">: μ = 2 → 0,50. (1 / 2) × 1,00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0,50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8"/>
                <w:szCs w:val="18"/>
              </w:rPr>
              <w:t xml:space="preserve">Promedio (7 clases con estado)</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 + 0 + 0 + 0 + 0 + 0,50 + 0,50) / 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0,14</w:t>
            </w:r>
          </w:p>
        </w:tc>
      </w:tr>
    </w:tbl>
    <w:p>
      <w:pPr>
        <w:spacing w:after="120"/>
      </w:pPr>
    </w:p>
    <w:p>
      <w:pPr>
        <w:spacing w:after="120" w:line="276"/>
      </w:pPr>
      <w:r>
        <w:rPr>
          <w:rFonts w:ascii="Calibri" w:cs="Calibri" w:eastAsia="Calibri" w:hAnsi="Calibri"/>
          <w:b/>
          <w:bCs/>
        </w:rPr>
        <w:t xml:space="preserve">Interpretación.</w:t>
      </w:r>
      <w:r>
        <w:rPr>
          <w:rFonts w:ascii="Calibri" w:cs="Calibri" w:eastAsia="Calibri" w:hAnsi="Calibri"/>
        </w:rPr>
        <w:t xml:space="preserve"> El papel de orquestación, que en el legado tenía una cohesión intermedia (0,50), recae ahora en dos clases con cohesión perfecta (0,00). Las dos clases que permanecen en 0,50 son adaptadores en memoria que implementan dos interfaces cada uno y agrupan dos datos relacionados (citas y cancelaciones; recaudo y cancelaciones) por simplicidad. Gracias a ISP, cada cliente solo ve la mitad que necesita, y si se quisiera reducir el valor bastaría con separar cada adaptador en dos clases sin tocar ningún servicio.</w:t>
      </w:r>
    </w:p>
    <w:p>
      <w:pPr>
        <w:pStyle w:val="Heading2"/>
        <w:keepNext/>
        <w:spacing w:after="120" w:before="240"/>
      </w:pPr>
      <w:r>
        <w:rPr>
          <w:rFonts w:ascii="Calibri" w:cs="Calibri" w:eastAsia="Calibri" w:hAnsi="Calibri"/>
          <w:b/>
          <w:bCs/>
          <w:color w:val="1F3864"/>
          <w:sz w:val="25"/>
          <w:szCs w:val="25"/>
        </w:rPr>
        <w:t xml:space="preserve">8.3. Acoplamiento, inestabilidad, abstracción y distancia por clase</w:t>
      </w:r>
    </w:p>
    <w:p>
      <w:pPr>
        <w:spacing w:after="120" w:line="276"/>
      </w:pPr>
      <w:r>
        <w:rPr>
          <w:rFonts w:ascii="Calibri" w:cs="Calibri" w:eastAsia="Calibri" w:hAnsi="Calibri"/>
          <w:b/>
          <w:bCs/>
        </w:rPr>
        <w:t xml:space="preserve">ServicioAgendamiento.</w:t>
      </w:r>
      <w:r>
        <w:rPr>
          <w:rFonts w:ascii="Calibri" w:cs="Calibri" w:eastAsia="Calibri" w:hAnsi="Calibri"/>
        </w:rPr>
        <w:t xml:space="preserve"> Ce = 10. Depende de ocho abstracciones (</w:t>
      </w:r>
      <w:r>
        <w:rPr>
          <w:rFonts w:ascii="Consolas" w:cs="Consolas" w:eastAsia="Consolas" w:hAnsi="Consolas"/>
          <w:sz w:val="20"/>
          <w:szCs w:val="20"/>
        </w:rPr>
        <w:t xml:space="preserve">IServicioAgendamiento</w:t>
      </w:r>
      <w:r>
        <w:rPr>
          <w:rFonts w:ascii="Calibri" w:cs="Calibri" w:eastAsia="Calibri" w:hAnsi="Calibri"/>
        </w:rPr>
        <w:t xml:space="preserve">, </w:t>
      </w:r>
      <w:r>
        <w:rPr>
          <w:rFonts w:ascii="Consolas" w:cs="Consolas" w:eastAsia="Consolas" w:hAnsi="Consolas"/>
          <w:sz w:val="20"/>
          <w:szCs w:val="20"/>
        </w:rPr>
        <w:t xml:space="preserve">ICalculadorCopago</w:t>
      </w:r>
      <w:r>
        <w:rPr>
          <w:rFonts w:ascii="Calibri" w:cs="Calibri" w:eastAsia="Calibri" w:hAnsi="Calibri"/>
        </w:rPr>
        <w:t xml:space="preserve">, </w:t>
      </w:r>
      <w:r>
        <w:rPr>
          <w:rFonts w:ascii="Consolas" w:cs="Consolas" w:eastAsia="Consolas" w:hAnsi="Consolas"/>
          <w:sz w:val="20"/>
          <w:szCs w:val="20"/>
        </w:rPr>
        <w:t xml:space="preserve">IGeneradorIdentificador</w:t>
      </w:r>
      <w:r>
        <w:rPr>
          <w:rFonts w:ascii="Calibri" w:cs="Calibri" w:eastAsia="Calibri" w:hAnsi="Calibri"/>
        </w:rPr>
        <w:t xml:space="preserve">, </w:t>
      </w:r>
      <w:r>
        <w:rPr>
          <w:rFonts w:ascii="Consolas" w:cs="Consolas" w:eastAsia="Consolas" w:hAnsi="Consolas"/>
          <w:sz w:val="20"/>
          <w:szCs w:val="20"/>
        </w:rPr>
        <w:t xml:space="preserve">IValidadorDisponibilidad</w:t>
      </w:r>
      <w:r>
        <w:rPr>
          <w:rFonts w:ascii="Calibri" w:cs="Calibri" w:eastAsia="Calibri" w:hAnsi="Calibri"/>
        </w:rPr>
        <w:t xml:space="preserve">, </w:t>
      </w:r>
      <w:r>
        <w:rPr>
          <w:rFonts w:ascii="Consolas" w:cs="Consolas" w:eastAsia="Consolas" w:hAnsi="Consolas"/>
          <w:sz w:val="20"/>
          <w:szCs w:val="20"/>
        </w:rPr>
        <w:t xml:space="preserve">IRegistroReportes</w:t>
      </w:r>
      <w:r>
        <w:rPr>
          <w:rFonts w:ascii="Calibri" w:cs="Calibri" w:eastAsia="Calibri" w:hAnsi="Calibri"/>
        </w:rPr>
        <w:t xml:space="preserve">, </w:t>
      </w:r>
      <w:r>
        <w:rPr>
          <w:rFonts w:ascii="Consolas" w:cs="Consolas" w:eastAsia="Consolas" w:hAnsi="Consolas"/>
          <w:sz w:val="20"/>
          <w:szCs w:val="20"/>
        </w:rPr>
        <w:t xml:space="preserve">IConstructorMensajes</w:t>
      </w:r>
      <w:r>
        <w:rPr>
          <w:rFonts w:ascii="Calibri" w:cs="Calibri" w:eastAsia="Calibri" w:hAnsi="Calibri"/>
        </w:rPr>
        <w:t xml:space="preserve">, </w:t>
      </w:r>
      <w:r>
        <w:rPr>
          <w:rFonts w:ascii="Consolas" w:cs="Consolas" w:eastAsia="Consolas" w:hAnsi="Consolas"/>
          <w:sz w:val="20"/>
          <w:szCs w:val="20"/>
        </w:rPr>
        <w:t xml:space="preserve">INotificador</w:t>
      </w:r>
      <w:r>
        <w:rPr>
          <w:rFonts w:ascii="Calibri" w:cs="Calibri" w:eastAsia="Calibri" w:hAnsi="Calibri"/>
        </w:rPr>
        <w:t xml:space="preserve"> e </w:t>
      </w:r>
      <w:r>
        <w:rPr>
          <w:rFonts w:ascii="Consolas" w:cs="Consolas" w:eastAsia="Consolas" w:hAnsi="Consolas"/>
          <w:sz w:val="20"/>
          <w:szCs w:val="20"/>
        </w:rPr>
        <w:t xml:space="preserve">ICitaRepositorio</w:t>
      </w:r>
      <w:r>
        <w:rPr>
          <w:rFonts w:ascii="Calibri" w:cs="Calibri" w:eastAsia="Calibri" w:hAnsi="Calibri"/>
        </w:rPr>
        <w:t xml:space="preserve">) y de dos tipos de datos (</w:t>
      </w:r>
      <w:r>
        <w:rPr>
          <w:rFonts w:ascii="Consolas" w:cs="Consolas" w:eastAsia="Consolas" w:hAnsi="Consolas"/>
          <w:sz w:val="20"/>
          <w:szCs w:val="20"/>
        </w:rPr>
        <w:t xml:space="preserve">SolicitudAgendamiento</w:t>
      </w:r>
      <w:r>
        <w:rPr>
          <w:rFonts w:ascii="Calibri" w:cs="Calibri" w:eastAsia="Calibri" w:hAnsi="Calibri"/>
        </w:rPr>
        <w:t xml:space="preserve"> y </w:t>
      </w:r>
      <w:r>
        <w:rPr>
          <w:rFonts w:ascii="Consolas" w:cs="Consolas" w:eastAsia="Consolas" w:hAnsi="Consolas"/>
          <w:sz w:val="20"/>
          <w:szCs w:val="20"/>
        </w:rPr>
        <w:t xml:space="preserve">Cita</w:t>
      </w:r>
      <w:r>
        <w:rPr>
          <w:rFonts w:ascii="Calibri" w:cs="Calibri" w:eastAsia="Calibri" w:hAnsi="Calibri"/>
        </w:rPr>
        <w:t xml:space="preserve">). Ca = 1: su único cliente es </w:t>
      </w:r>
      <w:r>
        <w:rPr>
          <w:rFonts w:ascii="Consolas" w:cs="Consolas" w:eastAsia="Consolas" w:hAnsi="Consolas"/>
          <w:sz w:val="20"/>
          <w:szCs w:val="20"/>
        </w:rPr>
        <w:t xml:space="preserve">Program.cs</w:t>
      </w:r>
      <w:r>
        <w:rPr>
          <w:rFonts w:ascii="Calibri" w:cs="Calibri" w:eastAsia="Calibri" w:hAnsi="Calibri"/>
        </w:rPr>
        <w:t xml:space="preserve">.</w:t>
      </w:r>
    </w:p>
    <w:p>
      <w:pPr>
        <w:spacing w:after="120" w:line="276"/>
      </w:pPr>
      <w:r>
        <w:rPr>
          <w:rFonts w:ascii="Calibri" w:cs="Calibri" w:eastAsia="Calibri" w:hAnsi="Calibri"/>
          <w:b/>
          <w:bCs/>
        </w:rPr>
        <w:t xml:space="preserve">ServicioCancelacion.</w:t>
      </w:r>
      <w:r>
        <w:rPr>
          <w:rFonts w:ascii="Calibri" w:cs="Calibri" w:eastAsia="Calibri" w:hAnsi="Calibri"/>
        </w:rPr>
        <w:t xml:space="preserve"> Ce = 8. Depende de seis abstracciones (</w:t>
      </w:r>
      <w:r>
        <w:rPr>
          <w:rFonts w:ascii="Consolas" w:cs="Consolas" w:eastAsia="Consolas" w:hAnsi="Consolas"/>
          <w:sz w:val="20"/>
          <w:szCs w:val="20"/>
        </w:rPr>
        <w:t xml:space="preserve">IServicioCancelacion</w:t>
      </w:r>
      <w:r>
        <w:rPr>
          <w:rFonts w:ascii="Calibri" w:cs="Calibri" w:eastAsia="Calibri" w:hAnsi="Calibri"/>
        </w:rPr>
        <w:t xml:space="preserve">, </w:t>
      </w:r>
      <w:r>
        <w:rPr>
          <w:rFonts w:ascii="Consolas" w:cs="Consolas" w:eastAsia="Consolas" w:hAnsi="Consolas"/>
          <w:sz w:val="20"/>
          <w:szCs w:val="20"/>
        </w:rPr>
        <w:t xml:space="preserve">ICalculadorPenalizacion</w:t>
      </w:r>
      <w:r>
        <w:rPr>
          <w:rFonts w:ascii="Calibri" w:cs="Calibri" w:eastAsia="Calibri" w:hAnsi="Calibri"/>
        </w:rPr>
        <w:t xml:space="preserve">, </w:t>
      </w:r>
      <w:r>
        <w:rPr>
          <w:rFonts w:ascii="Consolas" w:cs="Consolas" w:eastAsia="Consolas" w:hAnsi="Consolas"/>
          <w:sz w:val="20"/>
          <w:szCs w:val="20"/>
        </w:rPr>
        <w:t xml:space="preserve">IRegistroReportes</w:t>
      </w:r>
      <w:r>
        <w:rPr>
          <w:rFonts w:ascii="Calibri" w:cs="Calibri" w:eastAsia="Calibri" w:hAnsi="Calibri"/>
        </w:rPr>
        <w:t xml:space="preserve">, </w:t>
      </w:r>
      <w:r>
        <w:rPr>
          <w:rFonts w:ascii="Consolas" w:cs="Consolas" w:eastAsia="Consolas" w:hAnsi="Consolas"/>
          <w:sz w:val="20"/>
          <w:szCs w:val="20"/>
        </w:rPr>
        <w:t xml:space="preserve">IConstructorMensajes</w:t>
      </w:r>
      <w:r>
        <w:rPr>
          <w:rFonts w:ascii="Calibri" w:cs="Calibri" w:eastAsia="Calibri" w:hAnsi="Calibri"/>
        </w:rPr>
        <w:t xml:space="preserve">, </w:t>
      </w:r>
      <w:r>
        <w:rPr>
          <w:rFonts w:ascii="Consolas" w:cs="Consolas" w:eastAsia="Consolas" w:hAnsi="Consolas"/>
          <w:sz w:val="20"/>
          <w:szCs w:val="20"/>
        </w:rPr>
        <w:t xml:space="preserve">INotificador</w:t>
      </w:r>
      <w:r>
        <w:rPr>
          <w:rFonts w:ascii="Calibri" w:cs="Calibri" w:eastAsia="Calibri" w:hAnsi="Calibri"/>
        </w:rPr>
        <w:t xml:space="preserve"> e </w:t>
      </w:r>
      <w:r>
        <w:rPr>
          <w:rFonts w:ascii="Consolas" w:cs="Consolas" w:eastAsia="Consolas" w:hAnsi="Consolas"/>
          <w:sz w:val="20"/>
          <w:szCs w:val="20"/>
        </w:rPr>
        <w:t xml:space="preserve">ICancelacionRepositorio</w:t>
      </w:r>
      <w:r>
        <w:rPr>
          <w:rFonts w:ascii="Calibri" w:cs="Calibri" w:eastAsia="Calibri" w:hAnsi="Calibri"/>
        </w:rPr>
        <w:t xml:space="preserve">) y de dos tipos de datos (</w:t>
      </w:r>
      <w:r>
        <w:rPr>
          <w:rFonts w:ascii="Consolas" w:cs="Consolas" w:eastAsia="Consolas" w:hAnsi="Consolas"/>
          <w:sz w:val="20"/>
          <w:szCs w:val="20"/>
        </w:rPr>
        <w:t xml:space="preserve">Cita</w:t>
      </w:r>
      <w:r>
        <w:rPr>
          <w:rFonts w:ascii="Calibri" w:cs="Calibri" w:eastAsia="Calibri" w:hAnsi="Calibri"/>
        </w:rPr>
        <w:t xml:space="preserve"> y </w:t>
      </w:r>
      <w:r>
        <w:rPr>
          <w:rFonts w:ascii="Consolas" w:cs="Consolas" w:eastAsia="Consolas" w:hAnsi="Consolas"/>
          <w:sz w:val="20"/>
          <w:szCs w:val="20"/>
        </w:rPr>
        <w:t xml:space="preserve">ContextoCancelacion</w:t>
      </w:r>
      <w:r>
        <w:rPr>
          <w:rFonts w:ascii="Calibri" w:cs="Calibri" w:eastAsia="Calibri" w:hAnsi="Calibri"/>
        </w:rPr>
        <w:t xml:space="preserve">). Ca = 1.</w:t>
      </w:r>
    </w:p>
    <w:p>
      <w:pPr>
        <w:shd w:fill="F2F2F2" w:color="auto" w:val="clear"/>
        <w:spacing w:after="0" w:line="252"/>
        <w:ind w:left="120" w:right="120"/>
      </w:pPr>
      <w:r>
        <w:rPr>
          <w:rFonts w:ascii="Consolas" w:cs="Consolas" w:eastAsia="Consolas" w:hAnsi="Consolas"/>
          <w:sz w:val="18"/>
          <w:szCs w:val="18"/>
        </w:rPr>
        <w:t xml:space="preserve">ServicioAgendamiento: I = 10 / (10 + 1) = 0,909   A = 0   |D| = |0,00 + 0,909 − 1| = 0,091</w:t>
      </w:r>
    </w:p>
    <w:p>
      <w:pPr>
        <w:shd w:fill="F2F2F2" w:color="auto" w:val="clear"/>
        <w:spacing w:after="0" w:line="252"/>
        <w:ind w:left="120" w:right="120"/>
      </w:pPr>
      <w:r>
        <w:rPr>
          <w:rFonts w:ascii="Consolas" w:cs="Consolas" w:eastAsia="Consolas" w:hAnsi="Consolas"/>
          <w:sz w:val="18"/>
          <w:szCs w:val="18"/>
        </w:rPr>
        <w:t xml:space="preserve">ServicioCancelacion:  I =  8 / ( 8 + 1) = 0,889   A = 0   |D| = |0,00 + 0,889 − 1| = 0,111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0"/>
        <w:gridCol w:w="560"/>
        <w:gridCol w:w="1000"/>
        <w:gridCol w:w="560"/>
        <w:gridCol w:w="1000"/>
        <w:gridCol w:w="344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Tipo</w:t>
            </w:r>
          </w:p>
        </w:tc>
        <w:tc>
          <w:tcPr>
            <w:tcW w:type="dxa" w:w="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w:t>
            </w:r>
          </w:p>
        </w:tc>
        <w:tc>
          <w:tcPr>
            <w:tcW w:type="dxa" w:w="5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w:t>
            </w:r>
          </w:p>
        </w:tc>
        <w:tc>
          <w:tcPr>
            <w:tcW w:type="dxa" w:w="34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Observación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GestorCitasOdontologicas (legado)</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0,83</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0,17</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Cinco dependencias concretas; dos de infraestructura.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ServicioAgendamiento</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0,91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0,09</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 de 10 dependencias son interfaces; ninguna de infraestructura.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ServicioCancelacion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0,89</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0,11</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 de 8 dependencias son interfaces.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CalculadorCopago</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0,75</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0,25</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5"/>
                <w:szCs w:val="15"/>
              </w:rPr>
              <w:t xml:space="preserve">ICalculadorCopago</w:t>
            </w:r>
            <w:r>
              <w:rPr>
                <w:rFonts w:ascii="Calibri" w:cs="Calibri" w:eastAsia="Calibri" w:hAnsi="Calibri"/>
                <w:b w:val="false"/>
                <w:bCs w:val="false"/>
                <w:sz w:val="17"/>
                <w:szCs w:val="17"/>
              </w:rPr>
              <w:t xml:space="preserve">, </w:t>
            </w:r>
            <w:r>
              <w:rPr>
                <w:rFonts w:ascii="Consolas" w:cs="Consolas" w:eastAsia="Consolas" w:hAnsi="Consolas"/>
                <w:sz w:val="15"/>
                <w:szCs w:val="15"/>
              </w:rPr>
              <w:t xml:space="preserve">IReglaTarifa</w:t>
            </w:r>
            <w:r>
              <w:rPr>
                <w:rFonts w:ascii="Calibri" w:cs="Calibri" w:eastAsia="Calibri" w:hAnsi="Calibri"/>
                <w:b w:val="false"/>
                <w:bCs w:val="false"/>
                <w:sz w:val="17"/>
                <w:szCs w:val="17"/>
              </w:rPr>
              <w:t xml:space="preserve"> y </w:t>
            </w:r>
            <w:r>
              <w:rPr>
                <w:rFonts w:ascii="Consolas" w:cs="Consolas" w:eastAsia="Consolas" w:hAnsi="Consolas"/>
                <w:sz w:val="15"/>
                <w:szCs w:val="15"/>
              </w:rPr>
              <w:t xml:space="preserve">SolicitudAgendamiento</w:t>
            </w:r>
            <w:r>
              <w:rPr>
                <w:rFonts w:ascii="Calibri" w:cs="Calibri" w:eastAsia="Calibri" w:hAnsi="Calibri"/>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CalculadorPenalizacion</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0,75</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0,25</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5"/>
                <w:szCs w:val="15"/>
              </w:rPr>
              <w:t xml:space="preserve">ICalculadorPenalizacion</w:t>
            </w:r>
            <w:r>
              <w:rPr>
                <w:rFonts w:ascii="Calibri" w:cs="Calibri" w:eastAsia="Calibri" w:hAnsi="Calibri"/>
                <w:b w:val="false"/>
                <w:bCs w:val="false"/>
                <w:sz w:val="17"/>
                <w:szCs w:val="17"/>
              </w:rPr>
              <w:t xml:space="preserve">, </w:t>
            </w:r>
            <w:r>
              <w:rPr>
                <w:rFonts w:ascii="Consolas" w:cs="Consolas" w:eastAsia="Consolas" w:hAnsi="Consolas"/>
                <w:sz w:val="15"/>
                <w:szCs w:val="15"/>
              </w:rPr>
              <w:t xml:space="preserve">IReglaPenalizacion</w:t>
            </w:r>
            <w:r>
              <w:rPr>
                <w:rFonts w:ascii="Calibri" w:cs="Calibri" w:eastAsia="Calibri" w:hAnsi="Calibri"/>
                <w:b w:val="false"/>
                <w:bCs w:val="false"/>
                <w:sz w:val="17"/>
                <w:szCs w:val="17"/>
              </w:rPr>
              <w:t xml:space="preserve"> y </w:t>
            </w:r>
            <w:r>
              <w:rPr>
                <w:rFonts w:ascii="Consolas" w:cs="Consolas" w:eastAsia="Consolas" w:hAnsi="Consolas"/>
                <w:sz w:val="15"/>
                <w:szCs w:val="15"/>
              </w:rPr>
              <w:t xml:space="preserve">ContextoCancelacion</w:t>
            </w:r>
            <w:r>
              <w:rPr>
                <w:rFonts w:ascii="Calibri" w:cs="Calibri" w:eastAsia="Calibri" w:hAnsi="Calibri"/>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RepositorioEnMemoria</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0,75</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0,25</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5"/>
                <w:szCs w:val="15"/>
              </w:rPr>
              <w:t xml:space="preserve">ICitaRepositorio</w:t>
            </w:r>
            <w:r>
              <w:rPr>
                <w:rFonts w:ascii="Calibri" w:cs="Calibri" w:eastAsia="Calibri" w:hAnsi="Calibri"/>
                <w:b w:val="false"/>
                <w:bCs w:val="false"/>
                <w:sz w:val="17"/>
                <w:szCs w:val="17"/>
              </w:rPr>
              <w:t xml:space="preserve">, </w:t>
            </w:r>
            <w:r>
              <w:rPr>
                <w:rFonts w:ascii="Consolas" w:cs="Consolas" w:eastAsia="Consolas" w:hAnsi="Consolas"/>
                <w:sz w:val="15"/>
                <w:szCs w:val="15"/>
              </w:rPr>
              <w:t xml:space="preserve">ICancelacionRepositorio</w:t>
            </w:r>
            <w:r>
              <w:rPr>
                <w:rFonts w:ascii="Calibri" w:cs="Calibri" w:eastAsia="Calibri" w:hAnsi="Calibri"/>
                <w:b w:val="false"/>
                <w:bCs w:val="false"/>
                <w:sz w:val="17"/>
                <w:szCs w:val="17"/>
              </w:rPr>
              <w:t xml:space="preserve"> y </w:t>
            </w:r>
            <w:r>
              <w:rPr>
                <w:rFonts w:ascii="Consolas" w:cs="Consolas" w:eastAsia="Consolas" w:hAnsi="Consolas"/>
                <w:sz w:val="15"/>
                <w:szCs w:val="15"/>
              </w:rPr>
              <w:t xml:space="preserve">Cita</w:t>
            </w:r>
            <w:r>
              <w:rPr>
                <w:rFonts w:ascii="Calibri" w:cs="Calibri" w:eastAsia="Calibri" w:hAnsi="Calibri"/>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Reglas de tarifa (8)</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0,67–0,75</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0,25–0,33</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5"/>
                <w:szCs w:val="15"/>
              </w:rPr>
              <w:t xml:space="preserve">IReglaTarifa</w:t>
            </w:r>
            <w:r>
              <w:rPr>
                <w:rFonts w:ascii="Calibri" w:cs="Calibri" w:eastAsia="Calibri" w:hAnsi="Calibri"/>
                <w:b w:val="false"/>
                <w:bCs w:val="false"/>
                <w:sz w:val="17"/>
                <w:szCs w:val="17"/>
              </w:rPr>
              <w:t xml:space="preserve">, </w:t>
            </w:r>
            <w:r>
              <w:rPr>
                <w:rFonts w:ascii="Consolas" w:cs="Consolas" w:eastAsia="Consolas" w:hAnsi="Consolas"/>
                <w:sz w:val="15"/>
                <w:szCs w:val="15"/>
              </w:rPr>
              <w:t xml:space="preserve">SolicitudAgendamiento</w:t>
            </w:r>
            <w:r>
              <w:rPr>
                <w:rFonts w:ascii="Calibri" w:cs="Calibri" w:eastAsia="Calibri" w:hAnsi="Calibri"/>
                <w:b w:val="false"/>
                <w:bCs w:val="false"/>
                <w:sz w:val="17"/>
                <w:szCs w:val="17"/>
              </w:rPr>
              <w:t xml:space="preserve"> y, en seis de ellas, una enumeración.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IReglaTarifa (interfaz)</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0,09</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0,09</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Abstracta y estable: muy cerca del extremo ideal (A = 1, I = 0).</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ICitaRepositorio (interfaz)</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0,33</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0,33</w:t>
            </w:r>
          </w:p>
        </w:tc>
        <w:tc>
          <w:tcPr>
            <w:tcW w:type="dxa" w:w="34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Abstracción estable de la que depende el caso de uso.</w:t>
            </w:r>
          </w:p>
        </w:tc>
      </w:tr>
    </w:tbl>
    <w:p>
      <w:pPr>
        <w:spacing w:after="120"/>
      </w:pPr>
    </w:p>
    <w:p>
      <w:pPr>
        <w:spacing w:after="120" w:line="276"/>
      </w:pPr>
      <w:r>
        <w:rPr>
          <w:rFonts w:ascii="Calibri" w:cs="Calibri" w:eastAsia="Calibri" w:hAnsi="Calibri"/>
          <w:b/>
          <w:bCs/>
        </w:rPr>
        <w:t xml:space="preserve">Lectura del acoplamiento eferente.</w:t>
      </w:r>
      <w:r>
        <w:rPr>
          <w:rFonts w:ascii="Calibri" w:cs="Calibri" w:eastAsia="Calibri" w:hAnsi="Calibri"/>
        </w:rPr>
        <w:t xml:space="preserve"> El número de dependencias salientes de los servicios aumenta (de 5 a 10 y 8), y no es un retroceso: lo que importa es hacia dónde apuntan. En el legado, las cinco dependencias del gestor eran clases concretas y dos de ellas lo ataban a SQL Server, SMTP y Twilio. En la versión refactorizada, el 80 % de las dependencias de </w:t>
      </w:r>
      <w:r>
        <w:rPr>
          <w:rFonts w:ascii="Consolas" w:cs="Consolas" w:eastAsia="Consolas" w:hAnsi="Consolas"/>
          <w:sz w:val="20"/>
          <w:szCs w:val="20"/>
        </w:rPr>
        <w:t xml:space="preserve">ServicioAgendamiento</w:t>
      </w:r>
      <w:r>
        <w:rPr>
          <w:rFonts w:ascii="Calibri" w:cs="Calibri" w:eastAsia="Calibri" w:hAnsi="Calibri"/>
        </w:rPr>
        <w:t xml:space="preserve"> y el 75 % de las de </w:t>
      </w:r>
      <w:r>
        <w:rPr>
          <w:rFonts w:ascii="Consolas" w:cs="Consolas" w:eastAsia="Consolas" w:hAnsi="Consolas"/>
          <w:sz w:val="20"/>
          <w:szCs w:val="20"/>
        </w:rPr>
        <w:t xml:space="preserve">ServicioCancelacion</w:t>
      </w:r>
      <w:r>
        <w:rPr>
          <w:rFonts w:ascii="Calibri" w:cs="Calibri" w:eastAsia="Calibri" w:hAnsi="Calibri"/>
        </w:rPr>
        <w:t xml:space="preserve"> son interfaces, y el resto son modelos de datos inmutables. Se cumple así el Principio de Dependencias Estables (Martin, 2017): componentes volátiles (I ≈ 0,9) que dependen de abstracciones mucho más estables (</w:t>
      </w:r>
      <w:r>
        <w:rPr>
          <w:rFonts w:ascii="Consolas" w:cs="Consolas" w:eastAsia="Consolas" w:hAnsi="Consolas"/>
          <w:sz w:val="20"/>
          <w:szCs w:val="20"/>
        </w:rPr>
        <w:t xml:space="preserve">IReglaTarifa</w:t>
      </w:r>
      <w:r>
        <w:rPr>
          <w:rFonts w:ascii="Calibri" w:cs="Calibri" w:eastAsia="Calibri" w:hAnsi="Calibri"/>
        </w:rPr>
        <w:t xml:space="preserve">, I = 0,09; </w:t>
      </w:r>
      <w:r>
        <w:rPr>
          <w:rFonts w:ascii="Consolas" w:cs="Consolas" w:eastAsia="Consolas" w:hAnsi="Consolas"/>
          <w:sz w:val="20"/>
          <w:szCs w:val="20"/>
        </w:rPr>
        <w:t xml:space="preserve">ICitaRepositorio</w:t>
      </w:r>
      <w:r>
        <w:rPr>
          <w:rFonts w:ascii="Calibri" w:cs="Calibri" w:eastAsia="Calibri" w:hAnsi="Calibri"/>
        </w:rPr>
        <w:t xml:space="preserve">, I = 0,33). Para hacer visible la diferencia se añade el indicador </w:t>
      </w:r>
      <w:r>
        <w:rPr>
          <w:rFonts w:ascii="Calibri" w:cs="Calibri" w:eastAsia="Calibri" w:hAnsi="Calibri"/>
          <w:b/>
          <w:bCs/>
        </w:rPr>
        <w:t xml:space="preserve">Ce hacia infraestructura</w:t>
      </w:r>
      <w:r>
        <w:rPr>
          <w:rFonts w:ascii="Calibri" w:cs="Calibri" w:eastAsia="Calibri" w:hAnsi="Calibri"/>
        </w:rPr>
        <w:t xml:space="preserve">, que baja de 2 a 0.</w:t>
      </w:r>
    </w:p>
    <w:p>
      <w:pPr>
        <w:pStyle w:val="Heading2"/>
        <w:keepNext/>
        <w:spacing w:after="120" w:before="240"/>
      </w:pPr>
      <w:r>
        <w:rPr>
          <w:rFonts w:ascii="Calibri" w:cs="Calibri" w:eastAsia="Calibri" w:hAnsi="Calibri"/>
          <w:b/>
          <w:bCs/>
          <w:color w:val="1F3864"/>
          <w:sz w:val="25"/>
          <w:szCs w:val="25"/>
        </w:rPr>
        <w:t xml:space="preserve">8.4. Métricas por paquete (namespace)</w:t>
      </w:r>
    </w:p>
    <w:p>
      <w:pPr>
        <w:spacing w:after="120" w:line="276"/>
      </w:pPr>
      <w:r>
        <w:rPr>
          <w:rFonts w:ascii="Calibri" w:cs="Calibri" w:eastAsia="Calibri" w:hAnsi="Calibri"/>
        </w:rPr>
        <w:t xml:space="preserve">En el legado todo vive en un único namespace (</w:t>
      </w:r>
      <w:r>
        <w:rPr>
          <w:rFonts w:ascii="Consolas" w:cs="Consolas" w:eastAsia="Consolas" w:hAnsi="Consolas"/>
          <w:sz w:val="20"/>
          <w:szCs w:val="20"/>
        </w:rPr>
        <w:t xml:space="preserve">DentaCare.Legacy</w:t>
      </w:r>
      <w:r>
        <w:rPr>
          <w:rFonts w:ascii="Calibri" w:cs="Calibri" w:eastAsia="Calibri" w:hAnsi="Calibri"/>
        </w:rPr>
        <w:t xml:space="preserve">), de modo que no hay dependencias entre paquetes que medir y el análisis solo puede hacerse por clase. En la versión refactorizada cada carpeta es un namespace. En esta tabla, Ca y Ce cuentan paquetes de la solución relacionados y A es la proporción de tipos abstractos sobre el total de tipos del paquete.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40"/>
        <w:gridCol w:w="640"/>
        <w:gridCol w:w="640"/>
        <w:gridCol w:w="424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Paquete</w:t>
            </w:r>
          </w:p>
        </w:tc>
        <w:tc>
          <w:tcPr>
            <w:tcW w:type="dxa" w:w="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Ca</w:t>
            </w:r>
          </w:p>
        </w:tc>
        <w:tc>
          <w:tcPr>
            <w:tcW w:type="dxa" w:w="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Ce</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I</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w:t>
            </w:r>
          </w:p>
        </w:tc>
        <w:tc>
          <w:tcPr>
            <w:tcW w:type="dxa" w:w="6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w:t>
            </w:r>
          </w:p>
        </w:tc>
        <w:tc>
          <w:tcPr>
            <w:tcW w:type="dxa" w:w="42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Observación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Interfaces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0,33</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0,33</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Los 14 tipos son abstractos: paquete estable y abstracto.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Servicios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0,20</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Concreto y volátil, cerca de la secuencia principal.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Reglas.Tarifas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0,75</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0,25</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Sus clases pueden cambiar sin afectar a nadie salvo a </w:t>
            </w:r>
            <w:r>
              <w:rPr>
                <w:rFonts w:ascii="Consolas" w:cs="Consolas" w:eastAsia="Consolas" w:hAnsi="Consolas"/>
                <w:sz w:val="15"/>
                <w:szCs w:val="15"/>
              </w:rPr>
              <w:t xml:space="preserve">Program.cs</w:t>
            </w:r>
            <w:r>
              <w:rPr>
                <w:rFonts w:ascii="Calibri" w:cs="Calibri" w:eastAsia="Calibri" w:hAnsi="Calibri"/>
                <w:b w:val="false"/>
                <w:bCs w:val="false"/>
                <w:sz w:val="17"/>
                <w:szCs w:val="17"/>
              </w:rP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Reglas.Penalizaciones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0,20</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Mismo caso que las tarifas.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Modelos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0,29</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0,71</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Records inmutables muy usados: tienden a la Zona de Dolor, aceptable por su baja volatilidad.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Entidades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4</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0,80</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Zona de Dolor, igual que en el legado; son datos estables.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Enumeraciones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1,00</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Zona de Dolor inofensiva: catálogos que casi no cambian.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Reglas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1,00</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Solo contiene la constante </w:t>
            </w:r>
            <w:r>
              <w:rPr>
                <w:rFonts w:ascii="Consolas" w:cs="Consolas" w:eastAsia="Consolas" w:hAnsi="Consolas"/>
                <w:sz w:val="15"/>
                <w:szCs w:val="15"/>
              </w:rPr>
              <w:t xml:space="preserve">PoliticaCancelacion.HorasLimite</w:t>
            </w:r>
            <w:r>
              <w:rPr>
                <w:rFonts w:ascii="Calibri" w:cs="Calibri" w:eastAsia="Calibri" w:hAnsi="Calibri"/>
                <w:b w:val="false"/>
                <w:bCs w:val="false"/>
                <w:sz w:val="17"/>
                <w:szCs w:val="17"/>
              </w:rP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Excepciones</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1,00</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 solo tipo, usado por el validador.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Program (composition root)</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7</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6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42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Máximamente inestable, como corresponde al punto de entrada.</w:t>
            </w:r>
          </w:p>
        </w:tc>
      </w:tr>
    </w:tbl>
    <w:p>
      <w:pPr>
        <w:spacing w:after="120"/>
      </w:pPr>
    </w:p>
    <w:p>
      <w:pPr>
        <w:spacing w:after="120" w:line="276"/>
      </w:pPr>
      <w:r>
        <w:rPr>
          <w:rFonts w:ascii="Calibri" w:cs="Calibri" w:eastAsia="Calibri" w:hAnsi="Calibri"/>
        </w:rPr>
        <w:t xml:space="preserve">La dirección de las dependencias es la correcta: los paquetes volátiles (Servicios y Reglas) dependen de los estables (Interfaces, Modelos, Entidades y Enumeraciones), y nunca al revés. Interfaces es el único paquete abstracto y queda a 0,33 de la secuencia principal. Los paquetes que caen en la Zona de Dolor son tipos de datos o constantes con baja probabilidad de cambio, por lo que su rigidez no representa un riesgo real. Lo que sí sería preocupante, una clase concreta con lógica volátil y muchos dependientes, no aparece en la nueva solución.</w:t>
      </w:r>
    </w:p>
    <w:p>
      <w:pPr>
        <w:pStyle w:val="Heading2"/>
        <w:keepNext/>
        <w:spacing w:after="120" w:before="240"/>
      </w:pPr>
      <w:r>
        <w:rPr>
          <w:rFonts w:ascii="Calibri" w:cs="Calibri" w:eastAsia="Calibri" w:hAnsi="Calibri"/>
          <w:b/>
          <w:bCs/>
          <w:color w:val="1F3864"/>
          <w:sz w:val="25"/>
          <w:szCs w:val="25"/>
        </w:rPr>
        <w:t xml:space="preserve">8.5. Abstracción de la solución</w:t>
      </w:r>
    </w:p>
    <w:p>
      <w:pPr>
        <w:shd w:fill="F2F2F2" w:color="auto" w:val="clear"/>
        <w:spacing w:after="0" w:line="252"/>
        <w:ind w:left="120" w:right="120"/>
      </w:pPr>
      <w:r>
        <w:rPr>
          <w:rFonts w:ascii="Consolas" w:cs="Consolas" w:eastAsia="Consolas" w:hAnsi="Consolas"/>
          <w:sz w:val="18"/>
          <w:szCs w:val="18"/>
        </w:rPr>
        <w:t xml:space="preserve">Legado:       A = 0 / 6 tipos = 0,00        (por miembros: 0 / 8 = 0,00)</w:t>
      </w:r>
    </w:p>
    <w:p>
      <w:pPr>
        <w:shd w:fill="F2F2F2" w:color="auto" w:val="clear"/>
        <w:spacing w:after="0" w:line="252"/>
        <w:ind w:left="120" w:right="120"/>
      </w:pPr>
      <w:r>
        <w:rPr>
          <w:rFonts w:ascii="Consolas" w:cs="Consolas" w:eastAsia="Consolas" w:hAnsi="Consolas"/>
          <w:sz w:val="18"/>
          <w:szCs w:val="18"/>
        </w:rPr>
        <w:t xml:space="preserve">Refactorizado: A = 14 / 45 tipos = 0,31     (por miembros: 20 / 68 = 0,29)</w:t>
      </w:r>
    </w:p>
    <w:p>
      <w:pPr>
        <w:spacing w:after="120"/>
      </w:pPr>
    </w:p>
    <w:p>
      <w:pPr>
        <w:spacing w:after="120" w:line="276"/>
      </w:pPr>
      <w:r>
        <w:rPr>
          <w:rFonts w:ascii="Calibri" w:cs="Calibri" w:eastAsia="Calibri" w:hAnsi="Calibri"/>
        </w:rPr>
        <w:t xml:space="preserve">Los 45 tipos son 14 interfaces, 10 servicios, 10 reglas, </w:t>
      </w:r>
      <w:r>
        <w:rPr>
          <w:rFonts w:ascii="Consolas" w:cs="Consolas" w:eastAsia="Consolas" w:hAnsi="Consolas"/>
          <w:sz w:val="20"/>
          <w:szCs w:val="20"/>
        </w:rPr>
        <w:t xml:space="preserve">PoliticaCancelacion</w:t>
      </w:r>
      <w:r>
        <w:rPr>
          <w:rFonts w:ascii="Calibri" w:cs="Calibri" w:eastAsia="Calibri" w:hAnsi="Calibri"/>
        </w:rPr>
        <w:t xml:space="preserve">, 3 entidades, 3 records, 3 enumeraciones y 1 excepción; es decir, 14 abstractos y 31 concretos. Por miembros, los 20 abstractos salen de 9 interfaces de un miembro, 4 de dos (</w:t>
      </w:r>
      <w:r>
        <w:rPr>
          <w:rFonts w:ascii="Consolas" w:cs="Consolas" w:eastAsia="Consolas" w:hAnsi="Consolas"/>
          <w:sz w:val="20"/>
          <w:szCs w:val="20"/>
        </w:rPr>
        <w:t xml:space="preserve">IConstructorMensajes</w:t>
      </w:r>
      <w:r>
        <w:rPr>
          <w:rFonts w:ascii="Calibri" w:cs="Calibri" w:eastAsia="Calibri" w:hAnsi="Calibri"/>
        </w:rPr>
        <w:t xml:space="preserve">, </w:t>
      </w:r>
      <w:r>
        <w:rPr>
          <w:rFonts w:ascii="Consolas" w:cs="Consolas" w:eastAsia="Consolas" w:hAnsi="Consolas"/>
          <w:sz w:val="20"/>
          <w:szCs w:val="20"/>
        </w:rPr>
        <w:t xml:space="preserve">IConsultaReportes</w:t>
      </w:r>
      <w:r>
        <w:rPr>
          <w:rFonts w:ascii="Calibri" w:cs="Calibri" w:eastAsia="Calibri" w:hAnsi="Calibri"/>
        </w:rPr>
        <w:t xml:space="preserve">, </w:t>
      </w:r>
      <w:r>
        <w:rPr>
          <w:rFonts w:ascii="Consolas" w:cs="Consolas" w:eastAsia="Consolas" w:hAnsi="Consolas"/>
          <w:sz w:val="20"/>
          <w:szCs w:val="20"/>
        </w:rPr>
        <w:t xml:space="preserve">IRegistroReportes</w:t>
      </w:r>
      <w:r>
        <w:rPr>
          <w:rFonts w:ascii="Calibri" w:cs="Calibri" w:eastAsia="Calibri" w:hAnsi="Calibri"/>
        </w:rPr>
        <w:t xml:space="preserve"> e </w:t>
      </w:r>
      <w:r>
        <w:rPr>
          <w:rFonts w:ascii="Consolas" w:cs="Consolas" w:eastAsia="Consolas" w:hAnsi="Consolas"/>
          <w:sz w:val="20"/>
          <w:szCs w:val="20"/>
        </w:rPr>
        <w:t xml:space="preserve">IReglaPenalizacion</w:t>
      </w:r>
      <w:r>
        <w:rPr>
          <w:rFonts w:ascii="Calibri" w:cs="Calibri" w:eastAsia="Calibri" w:hAnsi="Calibri"/>
        </w:rPr>
        <w:t xml:space="preserve">) y 1 de tres (</w:t>
      </w:r>
      <w:r>
        <w:rPr>
          <w:rFonts w:ascii="Consolas" w:cs="Consolas" w:eastAsia="Consolas" w:hAnsi="Consolas"/>
          <w:sz w:val="20"/>
          <w:szCs w:val="20"/>
        </w:rPr>
        <w:t xml:space="preserve">IReglaTarifa</w:t>
      </w:r>
      <w:r>
        <w:rPr>
          <w:rFonts w:ascii="Calibri" w:cs="Calibri" w:eastAsia="Calibri" w:hAnsi="Calibri"/>
        </w:rPr>
        <w:t xml:space="preserve">). Los 48 miembros concretos se reparten así: 18 en Servicios, 24 en las ocho reglas de tarifa (3 cada una), 4 en las dos reglas de penalización, </w:t>
      </w:r>
      <w:r>
        <w:rPr>
          <w:rFonts w:ascii="Consolas" w:cs="Consolas" w:eastAsia="Consolas" w:hAnsi="Consolas"/>
          <w:sz w:val="20"/>
          <w:szCs w:val="20"/>
        </w:rPr>
        <w:t xml:space="preserve">Cita.Cancelar</w:t>
      </w:r>
      <w:r>
        <w:rPr>
          <w:rFonts w:ascii="Calibri" w:cs="Calibri" w:eastAsia="Calibri" w:hAnsi="Calibri"/>
        </w:rPr>
        <w:t xml:space="preserve"> y </w:t>
      </w:r>
      <w:r>
        <w:rPr>
          <w:rFonts w:ascii="Consolas" w:cs="Consolas" w:eastAsia="Consolas" w:hAnsi="Consolas"/>
          <w:sz w:val="20"/>
          <w:szCs w:val="20"/>
        </w:rPr>
        <w:t xml:space="preserve">ContextoCancelacion.Anticipacion</w:t>
      </w:r>
      <w:r>
        <w:rPr>
          <w:rFonts w:ascii="Calibri" w:cs="Calibri" w:eastAsia="Calibri" w:hAnsi="Calibri"/>
        </w:rPr>
        <w:t xml:space="preserve">.</w:t>
      </w:r>
    </w:p>
    <w:p>
      <w:pPr>
        <w:pStyle w:val="Heading2"/>
        <w:keepNext/>
        <w:spacing w:after="120" w:before="240"/>
      </w:pPr>
      <w:r>
        <w:rPr>
          <w:rFonts w:ascii="Calibri" w:cs="Calibri" w:eastAsia="Calibri" w:hAnsi="Calibri"/>
          <w:b/>
          <w:bCs/>
          <w:color w:val="1F3864"/>
          <w:sz w:val="25"/>
          <w:szCs w:val="25"/>
        </w:rPr>
        <w:t xml:space="preserve">8.6. Complejidad ciclomática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4160"/>
        <w:gridCol w:w="1300"/>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Método</w:t>
            </w:r>
          </w:p>
        </w:tc>
        <w:tc>
          <w:tcPr>
            <w:tcW w:type="dxa" w:w="41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Puntos de decisión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Complejidad</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ServicioAgendamiento.Agendar</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Sin decisiones (flujo lineal)</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ServicioCancelacion.Cancelar</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Sin decisiones (flujo lineal)</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CalculadorCopago.Calcular</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foreach</w:t>
            </w:r>
            <w:r>
              <w:rPr>
                <w:rFonts w:ascii="Calibri" w:cs="Calibri" w:eastAsia="Calibri" w:hAnsi="Calibri"/>
                <w:b w:val="false"/>
                <w:bCs w:val="false"/>
                <w:sz w:val="19"/>
                <w:szCs w:val="19"/>
              </w:rPr>
              <w:t xml:space="preserve"> (L.24) e </w:t>
            </w:r>
            <w:r>
              <w:rPr>
                <w:rFonts w:ascii="Consolas" w:cs="Consolas" w:eastAsia="Consolas" w:hAnsi="Consolas"/>
                <w:sz w:val="17"/>
                <w:szCs w:val="17"/>
              </w:rPr>
              <w:t xml:space="preserve">if</w:t>
            </w:r>
            <w:r>
              <w:rPr>
                <w:rFonts w:ascii="Calibri" w:cs="Calibri" w:eastAsia="Calibri" w:hAnsi="Calibri"/>
                <w:b w:val="false"/>
                <w:bCs w:val="false"/>
                <w:sz w:val="19"/>
                <w:szCs w:val="19"/>
              </w:rPr>
              <w:t xml:space="preserve"> (L.26)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3</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CalculadorPenalizacion.Calcular</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Sin decisiones (filtrado declarativo con LINQ)</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ValidadorDisponibilidadPorBandera.Validar</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if</w:t>
            </w:r>
            <w:r>
              <w:rPr>
                <w:rFonts w:ascii="Calibri" w:cs="Calibri" w:eastAsia="Calibri" w:hAnsi="Calibri"/>
                <w:b w:val="false"/>
                <w:bCs w:val="false"/>
                <w:sz w:val="19"/>
                <w:szCs w:val="19"/>
              </w:rPr>
              <w:t xml:space="preserve"> (L.15)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RecargoCancelacionTardiaCirugia.Aplica</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7"/>
                <w:szCs w:val="17"/>
              </w:rPr>
              <w:t xml:space="preserve">&amp;&amp;</w:t>
            </w:r>
            <w:r>
              <w:rPr>
                <w:rFonts w:ascii="Calibri" w:cs="Calibri" w:eastAsia="Calibri" w:hAnsi="Calibri"/>
                <w:b w:val="false"/>
                <w:bCs w:val="false"/>
                <w:sz w:val="19"/>
                <w:szCs w:val="19"/>
              </w:rPr>
              <w:t xml:space="preserve"> (L.13)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2</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Demás reglas (</w:t>
            </w:r>
            <w:r>
              <w:rPr>
                <w:rFonts w:ascii="Consolas" w:cs="Consolas" w:eastAsia="Consolas" w:hAnsi="Consolas"/>
                <w:sz w:val="17"/>
                <w:szCs w:val="17"/>
              </w:rPr>
              <w:t xml:space="preserve">Orden</w:t>
            </w:r>
            <w:r>
              <w:rPr>
                <w:rFonts w:ascii="Calibri" w:cs="Calibri" w:eastAsia="Calibri" w:hAnsi="Calibri"/>
                <w:b w:val="false"/>
                <w:bCs w:val="false"/>
                <w:sz w:val="19"/>
                <w:szCs w:val="19"/>
              </w:rPr>
              <w:t xml:space="preserve">, </w:t>
            </w:r>
            <w:r>
              <w:rPr>
                <w:rFonts w:ascii="Consolas" w:cs="Consolas" w:eastAsia="Consolas" w:hAnsi="Consolas"/>
                <w:sz w:val="17"/>
                <w:szCs w:val="17"/>
              </w:rPr>
              <w:t xml:space="preserve">Aplica</w:t>
            </w:r>
            <w:r>
              <w:rPr>
                <w:rFonts w:ascii="Calibri" w:cs="Calibri" w:eastAsia="Calibri" w:hAnsi="Calibri"/>
                <w:b w:val="false"/>
                <w:bCs w:val="false"/>
                <w:sz w:val="19"/>
                <w:szCs w:val="19"/>
              </w:rPr>
              <w:t xml:space="preserve">, </w:t>
            </w:r>
            <w:r>
              <w:rPr>
                <w:rFonts w:ascii="Consolas" w:cs="Consolas" w:eastAsia="Consolas" w:hAnsi="Consolas"/>
                <w:sz w:val="17"/>
                <w:szCs w:val="17"/>
              </w:rPr>
              <w:t xml:space="preserve">Aplicar</w:t>
            </w:r>
            <w:r>
              <w:rPr>
                <w:rFonts w:ascii="Calibri" w:cs="Calibri" w:eastAsia="Calibri" w:hAnsi="Calibri"/>
                <w:b w:val="false"/>
                <w:bCs w:val="false"/>
                <w:sz w:val="19"/>
                <w:szCs w:val="19"/>
              </w:rPr>
              <w:t xml:space="preserve">)</w:t>
            </w:r>
          </w:p>
        </w:tc>
        <w:tc>
          <w:tcPr>
            <w:tcW w:type="dxa" w:w="41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Sin decisiones</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1</w:t>
            </w:r>
          </w:p>
        </w:tc>
      </w:tr>
    </w:tbl>
    <w:p>
      <w:pPr>
        <w:spacing w:after="120"/>
      </w:pPr>
    </w:p>
    <w:p>
      <w:pPr>
        <w:spacing w:after="120" w:line="276"/>
      </w:pPr>
      <w:r>
        <w:rPr>
          <w:rFonts w:ascii="Calibri" w:cs="Calibri" w:eastAsia="Calibri" w:hAnsi="Calibri"/>
        </w:rPr>
        <w:t xml:space="preserve">La complejidad máxima por método baja de 10 (</w:t>
      </w:r>
      <w:r>
        <w:rPr>
          <w:rFonts w:ascii="Consolas" w:cs="Consolas" w:eastAsia="Consolas" w:hAnsi="Consolas"/>
          <w:sz w:val="20"/>
          <w:szCs w:val="20"/>
        </w:rPr>
        <w:t xml:space="preserve">AgendarCita</w:t>
      </w:r>
      <w:r>
        <w:rPr>
          <w:rFonts w:ascii="Calibri" w:cs="Calibri" w:eastAsia="Calibri" w:hAnsi="Calibri"/>
        </w:rPr>
        <w:t xml:space="preserve">) a 3. Las decisiones de negocio que antes eran ramas </w:t>
      </w:r>
      <w:r>
        <w:rPr>
          <w:rFonts w:ascii="Consolas" w:cs="Consolas" w:eastAsia="Consolas" w:hAnsi="Consolas"/>
          <w:sz w:val="20"/>
          <w:szCs w:val="20"/>
        </w:rPr>
        <w:t xml:space="preserve">if</w:t>
      </w:r>
      <w:r>
        <w:rPr>
          <w:rFonts w:ascii="Calibri" w:cs="Calibri" w:eastAsia="Calibri" w:hAnsi="Calibri"/>
        </w:rPr>
        <w:t xml:space="preserve"> dentro de un solo método ahora son clases: el polimorfismo reemplaza al condicional y cada pieza puede probarse por separado.</w:t>
      </w:r>
    </w:p>
    <w:p>
      <w:pPr>
        <w:pStyle w:val="Heading2"/>
        <w:keepNext/>
        <w:spacing w:after="120" w:before="240"/>
      </w:pPr>
      <w:r>
        <w:rPr>
          <w:rFonts w:ascii="Calibri" w:cs="Calibri" w:eastAsia="Calibri" w:hAnsi="Calibri"/>
          <w:b/>
          <w:bCs/>
          <w:color w:val="1F3864"/>
          <w:sz w:val="25"/>
          <w:szCs w:val="25"/>
        </w:rPr>
        <w:t xml:space="preserve">8.7. Tabla comparativa Antes vs.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260"/>
        <w:gridCol w:w="29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Métrica</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Antes (Legacy)</w:t>
            </w:r>
          </w:p>
        </w:tc>
        <w:tc>
          <w:tcPr>
            <w:tcW w:type="dxa" w:w="22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Después (Refactored)</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Lectura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LCOM96b del orquestador</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0,50</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 en ambos servicios; 0,14 de promedio en clases con estado</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Cada clase tiene una sola razón de cambio.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 por servicio</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Sin cambio: el único cliente sigue siendo </w:t>
            </w:r>
            <w:r>
              <w:rPr>
                <w:rFonts w:ascii="Consolas" w:cs="Consolas" w:eastAsia="Consolas" w:hAnsi="Consolas"/>
                <w:sz w:val="15"/>
                <w:szCs w:val="15"/>
              </w:rPr>
              <w:t xml:space="preserve">Program.cs</w:t>
            </w:r>
            <w:r>
              <w:rPr>
                <w:rFonts w:ascii="Calibri" w:cs="Calibri" w:eastAsia="Calibri" w:hAnsi="Calibri"/>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 (todas concretas)</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 y 8</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Crece en número, pero ahora apunta a abstracciones estables.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Dependencias que son interfaces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0 %</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80 % y 75 %</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 resto son modelos de datos inmutables.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Ce hacia infraestructura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2 (</w:t>
            </w:r>
            <w:r>
              <w:rPr>
                <w:rFonts w:ascii="Consolas" w:cs="Consolas" w:eastAsia="Consolas" w:hAnsi="Consolas"/>
                <w:sz w:val="15"/>
                <w:szCs w:val="15"/>
              </w:rPr>
              <w:t xml:space="preserve">SqlServerEjecutor</w:t>
            </w:r>
            <w:r>
              <w:rPr>
                <w:rFonts w:ascii="Calibri" w:cs="Calibri" w:eastAsia="Calibri" w:hAnsi="Calibri"/>
                <w:b w:val="false"/>
                <w:bCs w:val="false"/>
                <w:sz w:val="17"/>
                <w:szCs w:val="17"/>
              </w:rPr>
              <w:t xml:space="preserve">, </w:t>
            </w:r>
            <w:r>
              <w:rPr>
                <w:rFonts w:ascii="Consolas" w:cs="Consolas" w:eastAsia="Consolas" w:hAnsi="Consolas"/>
                <w:sz w:val="15"/>
                <w:szCs w:val="15"/>
              </w:rPr>
              <w:t xml:space="preserve">NotificacionServicio</w:t>
            </w:r>
            <w:r>
              <w:rPr>
                <w:rFonts w:ascii="Calibri" w:cs="Calibri" w:eastAsia="Calibri" w:hAnsi="Calibri"/>
                <w:b w:val="false"/>
                <w:bCs w:val="false"/>
                <w:sz w:val="17"/>
                <w:szCs w:val="17"/>
              </w:rPr>
              <w:t xml:space="preserve">)</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El negocio ya no conoce SQL Server, SMTP ni Twilio.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I</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0,833</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0,909 y 0,889</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Sigue alta, como corresponde a un caso de uso; ahora depende de componentes más estables.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A por clase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Una clase concreta siempre tiene A = 0; la abstracción aparece en la solución.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A de la solución (por tipos)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 (0 / 6)</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0,31 (14 / 45)</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14 interfaces frente a 31 tipos concretos.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A de la solución (por miembros)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0,00 (0 / 8)</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0,29 (20 / 68)</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Confirma el resultado por tipos.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0,167</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0,091 y 0,111</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Los servicios quedan algo más cerca de la secuencia principal.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Complejidad ciclomática máxima</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10</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Desaparecen las cadenas </w:t>
            </w:r>
            <w:r>
              <w:rPr>
                <w:rFonts w:ascii="Consolas" w:cs="Consolas" w:eastAsia="Consolas" w:hAnsi="Consolas"/>
                <w:sz w:val="15"/>
                <w:szCs w:val="15"/>
              </w:rPr>
              <w:t xml:space="preserve">if/else</w:t>
            </w:r>
            <w:r>
              <w:rPr>
                <w:rFonts w:ascii="Calibri" w:cs="Calibri" w:eastAsia="Calibri" w:hAnsi="Calibri"/>
                <w:b w:val="false"/>
                <w:bCs w:val="false"/>
                <w:sz w:val="17"/>
                <w:szCs w:val="17"/>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Método más largo</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62 líneas (</w:t>
            </w:r>
            <w:r>
              <w:rPr>
                <w:rFonts w:ascii="Consolas" w:cs="Consolas" w:eastAsia="Consolas" w:hAnsi="Consolas"/>
                <w:sz w:val="15"/>
                <w:szCs w:val="15"/>
              </w:rPr>
              <w:t xml:space="preserve">AgendarCita</w:t>
            </w:r>
            <w:r>
              <w:rPr>
                <w:rFonts w:ascii="Calibri" w:cs="Calibri" w:eastAsia="Calibri" w:hAnsi="Calibri"/>
                <w:b w:val="false"/>
                <w:bCs w:val="false"/>
                <w:sz w:val="17"/>
                <w:szCs w:val="17"/>
              </w:rPr>
              <w:t xml:space="preserve">)</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17 líneas (</w:t>
            </w:r>
            <w:r>
              <w:rPr>
                <w:rFonts w:ascii="Consolas" w:cs="Consolas" w:eastAsia="Consolas" w:hAnsi="Consolas"/>
                <w:sz w:val="15"/>
                <w:szCs w:val="15"/>
              </w:rPr>
              <w:t xml:space="preserve">Agendar</w:t>
            </w:r>
            <w:r>
              <w:rPr>
                <w:rFonts w:ascii="Calibri" w:cs="Calibri" w:eastAsia="Calibri" w:hAnsi="Calibri"/>
                <w:b w:val="false"/>
                <w:bCs w:val="false"/>
                <w:sz w:val="17"/>
                <w:szCs w:val="17"/>
              </w:rPr>
              <w:t xml:space="preserv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Métodos cortos y legibles.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Tipos concretos / abstractos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6 / 0</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31 / 14</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Más piezas, cada una pequeña y con un propósito claro.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7"/>
                <w:szCs w:val="17"/>
              </w:rPr>
              <w:t xml:space="preserve">Violaciones SOLID</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5 (3 directas y 2 indirectas)</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0 (ver 7.5)</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7"/>
                <w:szCs w:val="17"/>
              </w:rPr>
              <w:t xml:space="preserve">Los cinco principios quedan atendidos.</w:t>
            </w:r>
          </w:p>
        </w:tc>
      </w:tr>
    </w:tbl>
    <w:p>
      <w:pPr>
        <w:spacing w:after="120"/>
      </w:pPr>
    </w:p>
    <w:p>
      <w:pPr>
        <w:spacing w:after="120" w:line="276"/>
      </w:pPr>
      <w:r>
        <w:rPr>
          <w:rFonts w:ascii="Calibri" w:cs="Calibri" w:eastAsia="Calibri" w:hAnsi="Calibri"/>
        </w:rPr>
        <w:t xml:space="preserve">La mejora no depende de una sola cifra. La distancia D del gestor ya era baja en la línea base, así que el impacto se aprecia sobre todo en la cohesión (0,50 → 0,00), en la naturaleza del acoplamiento (de clases concretas e infraestructura a interfaces), en la aparición de abstracciones (A de 0,00 a 0,31) y en la caída de la complejidad (10 → 3).</w:t>
      </w:r>
    </w:p>
    <w:p>
      <w:pPr>
        <w:pStyle w:val="Heading2"/>
        <w:keepNext/>
        <w:spacing w:after="120" w:before="240"/>
      </w:pPr>
      <w:r>
        <w:rPr>
          <w:rFonts w:ascii="Calibri" w:cs="Calibri" w:eastAsia="Calibri" w:hAnsi="Calibri"/>
          <w:b/>
          <w:bCs/>
          <w:color w:val="1F3864"/>
          <w:sz w:val="25"/>
          <w:szCs w:val="25"/>
        </w:rPr>
        <w:t xml:space="preserve">8.8. Impacto en atributos de calidad</w:t>
      </w:r>
    </w:p>
    <w:p>
      <w:pPr>
        <w:spacing w:after="120" w:line="276"/>
      </w:pPr>
      <w:r>
        <w:rPr>
          <w:rFonts w:ascii="Calibri" w:cs="Calibri" w:eastAsia="Calibri" w:hAnsi="Calibri"/>
        </w:rPr>
        <w:t xml:space="preserve">Las métricas se traducen en beneficios concretos para quien mantiene el sistema, en términos de los atributos de calidad que describen Bass, Clements y Kazman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Atributo</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Legado</w:t>
            </w:r>
          </w:p>
        </w:tc>
        <w:tc>
          <w:tcPr>
            <w:tcW w:type="dxa" w:w="3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9"/>
                <w:szCs w:val="19"/>
              </w:rPr>
              <w:t xml:space="preserve">Refactorizado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Modificabilidad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Cambiar una tarifa obliga a editar </w:t>
            </w:r>
            <w:r>
              <w:rPr>
                <w:rFonts w:ascii="Consolas" w:cs="Consolas" w:eastAsia="Consolas" w:hAnsi="Consolas"/>
                <w:sz w:val="17"/>
                <w:szCs w:val="17"/>
              </w:rPr>
              <w:t xml:space="preserve">AgendarCita</w:t>
            </w:r>
            <w:r>
              <w:rPr>
                <w:rFonts w:ascii="Calibri" w:cs="Calibri" w:eastAsia="Calibri" w:hAnsi="Calibri"/>
                <w:b w:val="false"/>
                <w:bCs w:val="false"/>
                <w:sz w:val="19"/>
                <w:szCs w:val="19"/>
              </w:rPr>
              <w:t xml:space="preserve"> y volver a probar todo el flujo.</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Se edita una clase de unas 15 líneas sin tocar el resto.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Extensibilidad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Una especialidad nueva exige otra rama </w:t>
            </w:r>
            <w:r>
              <w:rPr>
                <w:rFonts w:ascii="Consolas" w:cs="Consolas" w:eastAsia="Consolas" w:hAnsi="Consolas"/>
                <w:sz w:val="17"/>
                <w:szCs w:val="17"/>
              </w:rPr>
              <w:t xml:space="preserve">if/else</w:t>
            </w:r>
            <w:r>
              <w:rPr>
                <w:rFonts w:ascii="Calibri" w:cs="Calibri" w:eastAsia="Calibri" w:hAnsi="Calibri"/>
                <w:b w:val="false"/>
                <w:bCs w:val="false"/>
                <w:sz w:val="19"/>
                <w:szCs w:val="19"/>
              </w:rPr>
              <w:t xml:space="preserve"> en </w:t>
            </w:r>
            <w:r>
              <w:rPr>
                <w:rFonts w:ascii="Consolas" w:cs="Consolas" w:eastAsia="Consolas" w:hAnsi="Consolas"/>
                <w:sz w:val="17"/>
                <w:szCs w:val="17"/>
              </w:rPr>
              <w:t xml:space="preserve">AgendarCita</w:t>
            </w:r>
            <w:r>
              <w:rPr>
                <w:rFonts w:ascii="Calibri" w:cs="Calibri" w:eastAsia="Calibri" w:hAnsi="Calibri"/>
                <w:b w:val="false"/>
                <w:bCs w:val="false"/>
                <w:sz w:val="19"/>
                <w:szCs w:val="19"/>
              </w:rPr>
              <w:t xml:space="preserve">.</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Una clase nueva que implemente </w:t>
            </w:r>
            <w:r>
              <w:rPr>
                <w:rFonts w:ascii="Consolas" w:cs="Consolas" w:eastAsia="Consolas" w:hAnsi="Consolas"/>
                <w:sz w:val="17"/>
                <w:szCs w:val="17"/>
              </w:rPr>
              <w:t xml:space="preserve">IReglaTarifa</w:t>
            </w:r>
            <w:r>
              <w:rPr>
                <w:rFonts w:ascii="Calibri" w:cs="Calibri" w:eastAsia="Calibri" w:hAnsi="Calibri"/>
                <w:b w:val="false"/>
                <w:bCs w:val="false"/>
                <w:sz w:val="19"/>
                <w:szCs w:val="19"/>
              </w:rPr>
              <w:t xml:space="preserve">, un valor en la enumeración y su registro en </w:t>
            </w:r>
            <w:r>
              <w:rPr>
                <w:rFonts w:ascii="Consolas" w:cs="Consolas" w:eastAsia="Consolas" w:hAnsi="Consolas"/>
                <w:sz w:val="17"/>
                <w:szCs w:val="17"/>
              </w:rPr>
              <w:t xml:space="preserve">Program.cs</w:t>
            </w:r>
            <w:r>
              <w:rPr>
                <w:rFonts w:ascii="Calibri" w:cs="Calibri" w:eastAsia="Calibri" w:hAnsi="Calibri"/>
                <w:b w:val="false"/>
                <w:bCs w:val="false"/>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Testabilidad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Es imposible probar </w:t>
            </w:r>
            <w:r>
              <w:rPr>
                <w:rFonts w:ascii="Consolas" w:cs="Consolas" w:eastAsia="Consolas" w:hAnsi="Consolas"/>
                <w:sz w:val="17"/>
                <w:szCs w:val="17"/>
              </w:rPr>
              <w:t xml:space="preserve">AgendarCita</w:t>
            </w:r>
            <w:r>
              <w:rPr>
                <w:rFonts w:ascii="Calibri" w:cs="Calibri" w:eastAsia="Calibri" w:hAnsi="Calibri"/>
                <w:b w:val="false"/>
                <w:bCs w:val="false"/>
                <w:sz w:val="19"/>
                <w:szCs w:val="19"/>
              </w:rPr>
              <w:t xml:space="preserve"> sin SQL Server ni servidor de correo.</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Cada regla y cada servicio se prueban con dobles en memoria, como los que ya trae la solución.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Seguridad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Contraseña de SQL Server y clave de Twilio en el código fuente.</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No hay credenciales en el código; la configuración será responsabilidad del adaptador real.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Reemplazabilidad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Proveedores fijos (SQL Server, SMTP, Twilio).</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Cambiar de proveedor es escribir un adaptador y modificar una línea de </w:t>
            </w:r>
            <w:r>
              <w:rPr>
                <w:rFonts w:ascii="Consolas" w:cs="Consolas" w:eastAsia="Consolas" w:hAnsi="Consolas"/>
                <w:sz w:val="17"/>
                <w:szCs w:val="17"/>
              </w:rPr>
              <w:t xml:space="preserve">Program.cs</w:t>
            </w:r>
            <w:r>
              <w:rPr>
                <w:rFonts w:ascii="Calibri" w:cs="Calibri" w:eastAsia="Calibri" w:hAnsi="Calibri"/>
                <w:b w:val="false"/>
                <w:bCs w:val="false"/>
                <w:sz w:val="19"/>
                <w:szCs w:val="19"/>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9"/>
                <w:szCs w:val="19"/>
              </w:rPr>
              <w:t xml:space="preserve">Legibilidad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Un método de 62 líneas con 9 decisiones.</w:t>
            </w:r>
          </w:p>
        </w:tc>
        <w:tc>
          <w:tcPr>
            <w:tcW w:type="dxa" w:w="3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9"/>
                <w:szCs w:val="19"/>
              </w:rPr>
              <w:t xml:space="preserve">Métodos de 1 a 17 líneas con nombres del dominio.</w:t>
            </w:r>
          </w:p>
        </w:tc>
      </w:tr>
    </w:tbl>
    <w:p>
      <w:pPr>
        <w:pStyle w:val="Heading1"/>
        <w:keepNext/>
        <w:spacing w:after="160" w:before="360"/>
      </w:pPr>
      <w:r>
        <w:rPr>
          <w:rFonts w:ascii="Calibri" w:cs="Calibri" w:eastAsia="Calibri" w:hAnsi="Calibri"/>
          <w:b/>
          <w:bCs/>
          <w:color w:val="1F3864"/>
          <w:sz w:val="30"/>
          <w:szCs w:val="30"/>
        </w:rPr>
        <w:t xml:space="preserve">9. Fase 4 — Decisiones arquitectónicas (ADRs)</w:t>
      </w:r>
    </w:p>
    <w:p>
      <w:pPr>
        <w:spacing w:after="120" w:line="276"/>
      </w:pPr>
      <w:r>
        <w:rPr>
          <w:rFonts w:ascii="Calibri" w:cs="Calibri" w:eastAsia="Calibri" w:hAnsi="Calibri"/>
        </w:rPr>
        <w:t xml:space="preserve">Las decisiones tomadas durante la refactorización se documentan en dos registros en formato Markdown, ubicados en </w:t>
      </w:r>
      <w:r>
        <w:rPr>
          <w:rFonts w:ascii="Consolas" w:cs="Consolas" w:eastAsia="Consolas" w:hAnsi="Consolas"/>
          <w:sz w:val="20"/>
          <w:szCs w:val="20"/>
        </w:rPr>
        <w:t xml:space="preserve">docs/adr/</w:t>
      </w:r>
      <w:r>
        <w:rPr>
          <w:rFonts w:ascii="Calibri" w:cs="Calibri" w:eastAsia="Calibri" w:hAnsi="Calibri"/>
        </w:rPr>
        <w:t xml:space="preserve">. Siguen la estructura presentada en clase (estado, fecha, autores, contexto, decisión, consecuencias y cumplimiento, en el formato de Nygard que describen Richards y Ford, 2020) y se alinean con la norma ISO/IEC/IEEE 42010:2022 al registrar la fundamentación de cada decisión y su trazabilidad con los requisitos arquitectónicamente significativos y las preocupaciones de los interesados.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800"/>
        <w:gridCol w:w="1900"/>
        <w:gridCol w:w="18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Registro</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Decisión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Fuerzas principales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Trade-offs aceptados</w:t>
            </w:r>
          </w:p>
        </w:tc>
        <w:tc>
          <w:tcPr>
            <w:tcW w:type="dxa" w:w="1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pPr>
            <w:r>
              <w:rPr>
                <w:rFonts w:ascii="Calibri" w:cs="Calibri" w:eastAsia="Calibri" w:hAnsi="Calibri"/>
                <w:b/>
                <w:bCs/>
                <w:color w:val="FFFFFF"/>
                <w:sz w:val="16"/>
                <w:szCs w:val="16"/>
              </w:rPr>
              <w:t xml:space="preserve">Verificación de cumplimiento</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6"/>
                <w:szCs w:val="16"/>
              </w:rPr>
              <w:t xml:space="preserve">ADR-001</w:t>
            </w:r>
            <w:r>
              <w:rPr>
                <w:rFonts w:ascii="Calibri" w:cs="Calibri" w:eastAsia="Calibri" w:hAnsi="Calibri"/>
                <w:b w:val="false"/>
                <w:bCs w:val="false"/>
                <w:sz w:val="16"/>
                <w:szCs w:val="16"/>
              </w:rPr>
              <w:t xml:space="preserve"> Inversión de dependencias para persistencia y notificaciones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Los servicios dependen de puertos (</w:t>
            </w:r>
            <w:r>
              <w:rPr>
                <w:rFonts w:ascii="Consolas" w:cs="Consolas" w:eastAsia="Consolas" w:hAnsi="Consolas"/>
                <w:sz w:val="14"/>
                <w:szCs w:val="14"/>
              </w:rPr>
              <w:t xml:space="preserve">ICitaRepositorio</w:t>
            </w:r>
            <w:r>
              <w:rPr>
                <w:rFonts w:ascii="Calibri" w:cs="Calibri" w:eastAsia="Calibri" w:hAnsi="Calibri"/>
                <w:b w:val="false"/>
                <w:bCs w:val="false"/>
                <w:sz w:val="16"/>
                <w:szCs w:val="16"/>
              </w:rPr>
              <w:t xml:space="preserve">, </w:t>
            </w:r>
            <w:r>
              <w:rPr>
                <w:rFonts w:ascii="Consolas" w:cs="Consolas" w:eastAsia="Consolas" w:hAnsi="Consolas"/>
                <w:sz w:val="14"/>
                <w:szCs w:val="14"/>
              </w:rPr>
              <w:t xml:space="preserve">ICancelacionRepositorio</w:t>
            </w:r>
            <w:r>
              <w:rPr>
                <w:rFonts w:ascii="Calibri" w:cs="Calibri" w:eastAsia="Calibri" w:hAnsi="Calibri"/>
                <w:b w:val="false"/>
                <w:bCs w:val="false"/>
                <w:sz w:val="16"/>
                <w:szCs w:val="16"/>
              </w:rPr>
              <w:t xml:space="preserve">, </w:t>
            </w:r>
            <w:r>
              <w:rPr>
                <w:rFonts w:ascii="Consolas" w:cs="Consolas" w:eastAsia="Consolas" w:hAnsi="Consolas"/>
                <w:sz w:val="14"/>
                <w:szCs w:val="14"/>
              </w:rPr>
              <w:t xml:space="preserve">INotificador</w:t>
            </w:r>
            <w:r>
              <w:rPr>
                <w:rFonts w:ascii="Calibri" w:cs="Calibri" w:eastAsia="Calibri" w:hAnsi="Calibri"/>
                <w:b w:val="false"/>
                <w:bCs w:val="false"/>
                <w:sz w:val="16"/>
                <w:szCs w:val="16"/>
              </w:rPr>
              <w:t xml:space="preserve">) y reciben sus implementaciones por constructor.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Testabilidad, reemplazabilidad de proveedores y retiro de credenciales del código.</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Más tipos, mayor Ce en los servicios y un composition root que debe mantenerse.</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Ningún </w:t>
            </w:r>
            <w:r>
              <w:rPr>
                <w:rFonts w:ascii="Consolas" w:cs="Consolas" w:eastAsia="Consolas" w:hAnsi="Consolas"/>
                <w:sz w:val="14"/>
                <w:szCs w:val="14"/>
              </w:rPr>
              <w:t xml:space="preserve">new</w:t>
            </w:r>
            <w:r>
              <w:rPr>
                <w:rFonts w:ascii="Calibri" w:cs="Calibri" w:eastAsia="Calibri" w:hAnsi="Calibri"/>
                <w:b w:val="false"/>
                <w:bCs w:val="false"/>
                <w:sz w:val="16"/>
                <w:szCs w:val="16"/>
              </w:rPr>
              <w:t xml:space="preserve"> de implementaciones fuera de </w:t>
            </w:r>
            <w:r>
              <w:rPr>
                <w:rFonts w:ascii="Consolas" w:cs="Consolas" w:eastAsia="Consolas" w:hAnsi="Consolas"/>
                <w:sz w:val="14"/>
                <w:szCs w:val="14"/>
              </w:rPr>
              <w:t xml:space="preserve">Program.cs</w:t>
            </w:r>
            <w:r>
              <w:rPr>
                <w:rFonts w:ascii="Calibri" w:cs="Calibri" w:eastAsia="Calibri" w:hAnsi="Calibri"/>
                <w:b w:val="false"/>
                <w:bCs w:val="false"/>
                <w:sz w:val="16"/>
                <w:szCs w:val="16"/>
              </w:rPr>
              <w:t xml:space="preserve">; los paquetes de negocio no referencian </w:t>
            </w:r>
            <w:r>
              <w:rPr>
                <w:rFonts w:ascii="Consolas" w:cs="Consolas" w:eastAsia="Consolas" w:hAnsi="Consolas"/>
                <w:sz w:val="14"/>
                <w:szCs w:val="14"/>
              </w:rPr>
              <w:t xml:space="preserve">System.Data.SqlClient</w:t>
            </w:r>
            <w:r>
              <w:rPr>
                <w:rFonts w:ascii="Calibri" w:cs="Calibri" w:eastAsia="Calibri" w:hAnsi="Calibri"/>
                <w:b w:val="false"/>
                <w:bCs w:val="false"/>
                <w:sz w:val="16"/>
                <w:szCs w:val="16"/>
              </w:rPr>
              <w:t xml:space="preserve"> ni </w:t>
            </w:r>
            <w:r>
              <w:rPr>
                <w:rFonts w:ascii="Consolas" w:cs="Consolas" w:eastAsia="Consolas" w:hAnsi="Consolas"/>
                <w:sz w:val="14"/>
                <w:szCs w:val="14"/>
              </w:rPr>
              <w:t xml:space="preserve">System.Net.Mail</w:t>
            </w:r>
            <w:r>
              <w:rPr>
                <w:rFonts w:ascii="Calibri" w:cs="Calibri" w:eastAsia="Calibri" w:hAnsi="Calibri"/>
                <w:b w:val="false"/>
                <w:bCs w:val="false"/>
                <w:sz w:val="16"/>
                <w:szCs w:val="16"/>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bCs/>
                <w:sz w:val="16"/>
                <w:szCs w:val="16"/>
              </w:rPr>
              <w:t xml:space="preserve">ADR-002</w:t>
            </w:r>
            <w:r>
              <w:rPr>
                <w:rFonts w:ascii="Calibri" w:cs="Calibri" w:eastAsia="Calibri" w:hAnsi="Calibri"/>
                <w:b w:val="false"/>
                <w:bCs w:val="false"/>
                <w:sz w:val="16"/>
                <w:szCs w:val="16"/>
              </w:rPr>
              <w:t xml:space="preserve"> Ajuste de políticas de cancelación y tarifas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Cada tarifa, descuento, recargo y penalización es una regla independiente (</w:t>
            </w:r>
            <w:r>
              <w:rPr>
                <w:rFonts w:ascii="Consolas" w:cs="Consolas" w:eastAsia="Consolas" w:hAnsi="Consolas"/>
                <w:sz w:val="14"/>
                <w:szCs w:val="14"/>
              </w:rPr>
              <w:t xml:space="preserve">IReglaTarifa</w:t>
            </w:r>
            <w:r>
              <w:rPr>
                <w:rFonts w:ascii="Calibri" w:cs="Calibri" w:eastAsia="Calibri" w:hAnsi="Calibri"/>
                <w:b w:val="false"/>
                <w:bCs w:val="false"/>
                <w:sz w:val="16"/>
                <w:szCs w:val="16"/>
              </w:rPr>
              <w:t xml:space="preserve">, </w:t>
            </w:r>
            <w:r>
              <w:rPr>
                <w:rFonts w:ascii="Consolas" w:cs="Consolas" w:eastAsia="Consolas" w:hAnsi="Consolas"/>
                <w:sz w:val="14"/>
                <w:szCs w:val="14"/>
              </w:rPr>
              <w:t xml:space="preserve">IReglaPenalizacion</w:t>
            </w:r>
            <w:r>
              <w:rPr>
                <w:rFonts w:ascii="Calibri" w:cs="Calibri" w:eastAsia="Calibri" w:hAnsi="Calibri"/>
                <w:b w:val="false"/>
                <w:bCs w:val="false"/>
                <w:sz w:val="16"/>
                <w:szCs w:val="16"/>
              </w:rPr>
              <w:t xml:space="preserve">) compuesta por un calculador.</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Modificabilidad y extensibilidad de las políticas de precio y cancelación.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Dependencia de la convención de </w:t>
            </w:r>
            <w:r>
              <w:rPr>
                <w:rFonts w:ascii="Consolas" w:cs="Consolas" w:eastAsia="Consolas" w:hAnsi="Consolas"/>
                <w:sz w:val="14"/>
                <w:szCs w:val="14"/>
              </w:rPr>
              <w:t xml:space="preserve">Orden</w:t>
            </w:r>
            <w:r>
              <w:rPr>
                <w:rFonts w:ascii="Calibri" w:cs="Calibri" w:eastAsia="Calibri" w:hAnsi="Calibri"/>
                <w:b w:val="false"/>
                <w:bCs w:val="false"/>
                <w:sz w:val="16"/>
                <w:szCs w:val="16"/>
              </w:rPr>
              <w:t xml:space="preserve">, valor nuevo en la enumeración por cada variante y mayor número de clases.</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b w:val="false"/>
                <w:bCs w:val="false"/>
                <w:sz w:val="16"/>
                <w:szCs w:val="16"/>
              </w:rPr>
              <w:t xml:space="preserve">Casos de aceptación 130,00 y 90,00 y comparación regla por regla de la sección 7.6.</w:t>
            </w:r>
          </w:p>
        </w:tc>
      </w:tr>
    </w:tbl>
    <w:p>
      <w:pPr>
        <w:spacing w:after="120"/>
      </w:pPr>
    </w:p>
    <w:p>
      <w:pPr>
        <w:pStyle w:val="Heading1"/>
        <w:keepNext/>
        <w:spacing w:after="160" w:before="360"/>
      </w:pPr>
      <w:r>
        <w:rPr>
          <w:rFonts w:ascii="Calibri" w:cs="Calibri" w:eastAsia="Calibri" w:hAnsi="Calibri"/>
          <w:b/>
          <w:bCs/>
          <w:color w:val="1F3864"/>
          <w:sz w:val="30"/>
          <w:szCs w:val="30"/>
        </w:rPr>
        <w:t xml:space="preserve">10. Conclusiones</w:t>
      </w:r>
    </w:p>
    <w:p>
      <w:pPr>
        <w:spacing w:after="120" w:line="276"/>
      </w:pPr>
      <w:r>
        <w:rPr>
          <w:rFonts w:ascii="Calibri" w:cs="Calibri" w:eastAsia="Calibri" w:hAnsi="Calibri"/>
        </w:rPr>
        <w:t xml:space="preserve">El diagnóstico confirmó que </w:t>
      </w:r>
      <w:r>
        <w:rPr>
          <w:rFonts w:ascii="Consolas" w:cs="Consolas" w:eastAsia="Consolas" w:hAnsi="Consolas"/>
          <w:sz w:val="20"/>
          <w:szCs w:val="20"/>
        </w:rPr>
        <w:t xml:space="preserve">GestorCitasOdontologicas</w:t>
      </w:r>
      <w:r>
        <w:rPr>
          <w:rFonts w:ascii="Calibri" w:cs="Calibri" w:eastAsia="Calibri" w:hAnsi="Calibri"/>
        </w:rPr>
        <w:t xml:space="preserve"> era una God Class: violaba de forma directa SRP, OCP y DIP, y de forma indirecta LSP e ISP por la ausencia de abstracciones. Su posición en el plano A–I (D = 0,167) no reflejaba el problema, que se hacía visible en la mezcla de responsabilidades dentro de </w:t>
      </w:r>
      <w:r>
        <w:rPr>
          <w:rFonts w:ascii="Consolas" w:cs="Consolas" w:eastAsia="Consolas" w:hAnsi="Consolas"/>
          <w:sz w:val="20"/>
          <w:szCs w:val="20"/>
        </w:rPr>
        <w:t xml:space="preserve">AgendarCita</w:t>
      </w:r>
      <w:r>
        <w:rPr>
          <w:rFonts w:ascii="Calibri" w:cs="Calibri" w:eastAsia="Calibri" w:hAnsi="Calibri"/>
        </w:rPr>
        <w:t xml:space="preserve">, en una complejidad ciclomática de 10, en la ausencia total de interfaces y en la dependencia directa de infraestructura con credenciales incrustadas.</w:t>
      </w:r>
    </w:p>
    <w:p>
      <w:pPr>
        <w:spacing w:after="120" w:line="276"/>
      </w:pPr>
      <w:r>
        <w:rPr>
          <w:rFonts w:ascii="Calibri" w:cs="Calibri" w:eastAsia="Calibri" w:hAnsi="Calibri"/>
        </w:rPr>
        <w:t xml:space="preserve">La refactorización distribuye esas responsabilidades en componentes cohesivos y sustituibles. Las métricas respaldan la mejora: los orquestadores alcanzan cohesión perfecta, la solución pasa de no tener abstracciones a un 31 % de tipos abstractos, las dependencias apuntan hacia componentes estables y la complejidad máxima cae a un tercio. Que el número de dependencias salientes crezca es el costo esperado de inyectar abstracciones, y queda compensado porque ninguna de ellas es de infraestructura.</w:t>
      </w:r>
    </w:p>
    <w:p>
      <w:pPr>
        <w:spacing w:after="120" w:line="276"/>
      </w:pPr>
      <w:r>
        <w:rPr>
          <w:rFonts w:ascii="Calibri" w:cs="Calibri" w:eastAsia="Calibri" w:hAnsi="Calibri"/>
        </w:rPr>
        <w:t xml:space="preserve">La equivalencia funcional se comprobó con los casos de aceptación (130,00 y 90,00) y con la comparación regla por regla. Las decisiones que sostienen el diseño quedaron registradas en ADR-001 y ADR-002, con sus consecuencias y la forma de verificar su cumplimiento.</w:t>
      </w:r>
    </w:p>
    <w:p>
      <w:pPr>
        <w:pStyle w:val="Heading1"/>
        <w:keepNext/>
        <w:spacing w:after="160" w:before="360"/>
      </w:pPr>
      <w:r>
        <w:rPr>
          <w:rFonts w:ascii="Calibri" w:cs="Calibri" w:eastAsia="Calibri" w:hAnsi="Calibri"/>
          <w:b/>
          <w:bCs/>
          <w:color w:val="1F3864"/>
          <w:sz w:val="30"/>
          <w:szCs w:val="30"/>
        </w:rPr>
        <w:t xml:space="preserve">11. Referencias</w:t>
      </w:r>
    </w:p>
    <w:p>
      <w:pPr>
        <w:spacing w:after="90" w:line="276"/>
        <w:ind w:left="540" w:hanging="540"/>
      </w:pPr>
      <w:r>
        <w:rPr>
          <w:rFonts w:ascii="Calibri" w:cs="Calibri" w:eastAsia="Calibri" w:hAnsi="Calibri"/>
        </w:rPr>
        <w:t xml:space="preserve">Bass, L., Clements, P., &amp; Kazman, R. (2021). </w:t>
      </w:r>
      <w:r>
        <w:rPr>
          <w:rFonts w:ascii="Calibri" w:cs="Calibri" w:eastAsia="Calibri" w:hAnsi="Calibri"/>
          <w:i/>
          <w:iCs/>
        </w:rPr>
        <w:t xml:space="preserve">Software Architecture in Practice</w:t>
      </w:r>
      <w:r>
        <w:rPr>
          <w:rFonts w:ascii="Calibri" w:cs="Calibri" w:eastAsia="Calibri" w:hAnsi="Calibri"/>
        </w:rPr>
        <w:t xml:space="preserve"> (4th ed.). Addison-Wesley.</w:t>
      </w:r>
    </w:p>
    <w:p>
      <w:pPr>
        <w:spacing w:after="90" w:line="276"/>
        <w:ind w:left="540" w:hanging="540"/>
      </w:pPr>
      <w:r>
        <w:rPr>
          <w:rFonts w:ascii="Calibri" w:cs="Calibri" w:eastAsia="Calibri" w:hAnsi="Calibri"/>
        </w:rPr>
        <w:t xml:space="preserve">Henderson-Sellers, B. (1996). </w:t>
      </w:r>
      <w:r>
        <w:rPr>
          <w:rFonts w:ascii="Calibri" w:cs="Calibri" w:eastAsia="Calibri" w:hAnsi="Calibri"/>
          <w:i/>
          <w:iCs/>
        </w:rPr>
        <w:t xml:space="preserve">Object-Oriented Metrics: Measures of Complexity</w:t>
      </w:r>
      <w:r>
        <w:rPr>
          <w:rFonts w:ascii="Calibri" w:cs="Calibri" w:eastAsia="Calibri" w:hAnsi="Calibri"/>
        </w:rPr>
        <w:t xml:space="preserve">. Prentice Hall.</w:t>
      </w:r>
    </w:p>
    <w:p>
      <w:pPr>
        <w:spacing w:after="90" w:line="276"/>
        <w:ind w:left="540" w:hanging="540"/>
      </w:pPr>
      <w:r>
        <w:rPr>
          <w:rFonts w:ascii="Calibri" w:cs="Calibri" w:eastAsia="Calibri" w:hAnsi="Calibri"/>
        </w:rPr>
        <w:t xml:space="preserve">Institución Universitaria ITM (2024). </w:t>
      </w:r>
      <w:r>
        <w:rPr>
          <w:rFonts w:ascii="Calibri" w:cs="Calibri" w:eastAsia="Calibri" w:hAnsi="Calibri"/>
          <w:i/>
          <w:iCs/>
        </w:rPr>
        <w:t xml:space="preserve">Microdiseño Curricular: Arquitectura de Software I (FDE 058)</w:t>
      </w:r>
      <w:r>
        <w:rPr>
          <w:rFonts w:ascii="Calibri" w:cs="Calibri" w:eastAsia="Calibri" w:hAnsi="Calibri"/>
        </w:rPr>
        <w:t xml:space="preserve">. Facultad de Ingenierías, Medellín.</w:t>
      </w:r>
    </w:p>
    <w:p>
      <w:pPr>
        <w:spacing w:after="90" w:line="276"/>
        <w:ind w:left="540" w:hanging="540"/>
      </w:pPr>
      <w:r>
        <w:rPr>
          <w:rFonts w:ascii="Calibri" w:cs="Calibri" w:eastAsia="Calibri" w:hAnsi="Calibri"/>
        </w:rPr>
        <w:t xml:space="preserve">ISO/IEC/IEEE (2022). </w:t>
      </w:r>
      <w:r>
        <w:rPr>
          <w:rFonts w:ascii="Calibri" w:cs="Calibri" w:eastAsia="Calibri" w:hAnsi="Calibri"/>
          <w:i/>
          <w:iCs/>
        </w:rPr>
        <w:t xml:space="preserve">ISO/IEC/IEEE 42010:2022 Software, systems and enterprise — Architecture description</w:t>
      </w:r>
      <w:r>
        <w:rPr>
          <w:rFonts w:ascii="Calibri" w:cs="Calibri" w:eastAsia="Calibri" w:hAnsi="Calibri"/>
        </w:rPr>
        <w:t xml:space="preserve">.</w:t>
      </w:r>
    </w:p>
    <w:p>
      <w:pPr>
        <w:spacing w:after="90" w:line="276"/>
        <w:ind w:left="540" w:hanging="540"/>
      </w:pPr>
      <w:r>
        <w:rPr>
          <w:rFonts w:ascii="Calibri" w:cs="Calibri" w:eastAsia="Calibri" w:hAnsi="Calibri"/>
        </w:rPr>
        <w:t xml:space="preserve">Martin, R. C. (2003). </w:t>
      </w:r>
      <w:r>
        <w:rPr>
          <w:rFonts w:ascii="Calibri" w:cs="Calibri" w:eastAsia="Calibri" w:hAnsi="Calibri"/>
          <w:i/>
          <w:iCs/>
        </w:rPr>
        <w:t xml:space="preserve">Agile Software Development: Principles, Patterns, and Practices</w:t>
      </w:r>
      <w:r>
        <w:rPr>
          <w:rFonts w:ascii="Calibri" w:cs="Calibri" w:eastAsia="Calibri" w:hAnsi="Calibri"/>
        </w:rPr>
        <w:t xml:space="preserve">. Prentice Hall.</w:t>
      </w:r>
    </w:p>
    <w:p>
      <w:pPr>
        <w:spacing w:after="90" w:line="276"/>
        <w:ind w:left="540" w:hanging="540"/>
      </w:pPr>
      <w:r>
        <w:rPr>
          <w:rFonts w:ascii="Calibri" w:cs="Calibri" w:eastAsia="Calibri" w:hAnsi="Calibri"/>
        </w:rPr>
        <w:t xml:space="preserve">Martin, R. C. (2008). </w:t>
      </w:r>
      <w:r>
        <w:rPr>
          <w:rFonts w:ascii="Calibri" w:cs="Calibri" w:eastAsia="Calibri" w:hAnsi="Calibri"/>
          <w:i/>
          <w:iCs/>
        </w:rPr>
        <w:t xml:space="preserve">Clean Code: A Handbook of Agile Software Craftsmanship</w:t>
      </w:r>
      <w:r>
        <w:rPr>
          <w:rFonts w:ascii="Calibri" w:cs="Calibri" w:eastAsia="Calibri" w:hAnsi="Calibri"/>
        </w:rPr>
        <w:t xml:space="preserve">. Prentice Hall.</w:t>
      </w:r>
    </w:p>
    <w:p>
      <w:pPr>
        <w:spacing w:after="90" w:line="276"/>
        <w:ind w:left="540" w:hanging="540"/>
      </w:pPr>
      <w:r>
        <w:rPr>
          <w:rFonts w:ascii="Calibri" w:cs="Calibri" w:eastAsia="Calibri" w:hAnsi="Calibri"/>
        </w:rPr>
        <w:t xml:space="preserve">Martin, R. C. (2017). </w:t>
      </w:r>
      <w:r>
        <w:rPr>
          <w:rFonts w:ascii="Calibri" w:cs="Calibri" w:eastAsia="Calibri" w:hAnsi="Calibri"/>
          <w:i/>
          <w:iCs/>
        </w:rPr>
        <w:t xml:space="preserve">Clean Architecture: A Craftsman's Guide to Software Structure and Design</w:t>
      </w:r>
      <w:r>
        <w:rPr>
          <w:rFonts w:ascii="Calibri" w:cs="Calibri" w:eastAsia="Calibri" w:hAnsi="Calibri"/>
        </w:rPr>
        <w:t xml:space="preserve">. Prentice Hall.</w:t>
      </w:r>
    </w:p>
    <w:p>
      <w:pPr>
        <w:spacing w:after="90" w:line="276"/>
        <w:ind w:left="540" w:hanging="540"/>
      </w:pPr>
      <w:r>
        <w:rPr>
          <w:rFonts w:ascii="Calibri" w:cs="Calibri" w:eastAsia="Calibri" w:hAnsi="Calibri"/>
        </w:rPr>
        <w:t xml:space="preserve">Richards, M., &amp; Ford, N. (2020). </w:t>
      </w:r>
      <w:r>
        <w:rPr>
          <w:rFonts w:ascii="Calibri" w:cs="Calibri" w:eastAsia="Calibri" w:hAnsi="Calibri"/>
          <w:i/>
          <w:iCs/>
        </w:rPr>
        <w:t xml:space="preserve">Fundamentals of Software Architecture: An Engineering Approach</w:t>
      </w:r>
      <w:r>
        <w:rPr>
          <w:rFonts w:ascii="Calibri" w:cs="Calibri" w:eastAsia="Calibri" w:hAnsi="Calibri"/>
        </w:rPr>
        <w:t xml:space="preserve">. O'Reilly Media.</w:t>
      </w:r>
    </w:p>
    <w:p>
      <w:pPr>
        <w:spacing w:after="90" w:line="276"/>
        <w:ind w:left="540" w:hanging="540"/>
      </w:pPr>
      <w:r>
        <w:rPr>
          <w:rFonts w:ascii="Calibri" w:cs="Calibri" w:eastAsia="Calibri" w:hAnsi="Calibri"/>
        </w:rPr>
        <w:t xml:space="preserve">Seemann, M., &amp; van Deursen, S. (2019). </w:t>
      </w:r>
      <w:r>
        <w:rPr>
          <w:rFonts w:ascii="Calibri" w:cs="Calibri" w:eastAsia="Calibri" w:hAnsi="Calibri"/>
          <w:i/>
          <w:iCs/>
        </w:rPr>
        <w:t xml:space="preserve">Dependency Injection: Principles, Practices, and Patterns</w:t>
      </w:r>
      <w:r>
        <w:rPr>
          <w:rFonts w:ascii="Calibri" w:cs="Calibri" w:eastAsia="Calibri" w:hAnsi="Calibri"/>
        </w:rPr>
        <w:t xml:space="preserve">. Manning.</w:t>
      </w:r>
    </w:p>
    <w:p>
      <w:pPr>
        <w:spacing w:after="90" w:line="276"/>
        <w:ind w:left="540" w:hanging="540"/>
      </w:pPr>
      <w:r>
        <w:rPr>
          <w:rFonts w:ascii="Calibri" w:cs="Calibri" w:eastAsia="Calibri" w:hAnsi="Calibri"/>
        </w:rPr>
        <w:t xml:space="preserve">Material de clase, Arquitectura de Software I: </w:t>
      </w:r>
      <w:r>
        <w:rPr>
          <w:rFonts w:ascii="Calibri" w:cs="Calibri" w:eastAsia="Calibri" w:hAnsi="Calibri"/>
          <w:i/>
          <w:iCs/>
        </w:rPr>
        <w:t xml:space="preserve">principios SOLID (Módulos I y II), Clase 14 (ADRs) y Clase 15 (Diseño sostenible y métricas)</w:t>
      </w:r>
      <w:r>
        <w:rPr>
          <w:rFonts w:ascii="Calibri" w:cs="Calibri" w:eastAsia="Calibri" w:hAnsi="Calibri"/>
        </w:rPr>
        <w:t xml:space="preserve">.</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Arquitectura de Software I — ITM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Informe de Métricas — DentaCare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Métricas — DentaCare</dc:title>
  <dc:creator>Equipo DentaCare</dc:creator>
  <cp:lastModifiedBy>Un-named</cp:lastModifiedBy>
  <cp:revision>1</cp:revision>
  <dcterms:created xsi:type="dcterms:W3CDTF">2026-10-07T18:14:52.825Z</dcterms:created>
  <dcterms:modified xsi:type="dcterms:W3CDTF">2026-10-07T18:14:52.829Z</dcterms:modified>
</cp:coreProperties>
</file>

<file path=docProps/custom.xml><?xml version="1.0" encoding="utf-8"?>
<Properties xmlns="http://schemas.openxmlformats.org/officeDocument/2006/custom-properties" xmlns:vt="http://schemas.openxmlformats.org/officeDocument/2006/docPropsVTypes"/>
</file>