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A3A06" w14:textId="77777777" w:rsidR="005B071D" w:rsidRPr="003D5FA7" w:rsidRDefault="00316414">
      <w:pPr>
        <w:spacing w:before="2400" w:after="200"/>
        <w:jc w:val="center"/>
        <w:rPr>
          <w:rFonts w:ascii="Times New Roman" w:hAnsi="Times New Roman" w:cs="Times New Roman"/>
          <w:sz w:val="40"/>
          <w:szCs w:val="40"/>
        </w:rPr>
      </w:pPr>
      <w:r w:rsidRPr="003D5FA7">
        <w:rPr>
          <w:rFonts w:ascii="Times New Roman" w:hAnsi="Times New Roman" w:cs="Times New Roman"/>
          <w:b/>
          <w:bCs/>
          <w:color w:val="1F3864"/>
          <w:sz w:val="40"/>
          <w:szCs w:val="40"/>
        </w:rPr>
        <w:t>INFORME DE MÉTRICAS</w:t>
      </w:r>
    </w:p>
    <w:p w14:paraId="124DB123" w14:textId="77777777" w:rsidR="003D5FA7" w:rsidRPr="003D5FA7" w:rsidRDefault="003D5FA7">
      <w:pPr>
        <w:spacing w:after="200"/>
        <w:jc w:val="center"/>
        <w:rPr>
          <w:rFonts w:ascii="Times New Roman" w:hAnsi="Times New Roman" w:cs="Times New Roman"/>
          <w:sz w:val="24"/>
          <w:szCs w:val="24"/>
        </w:rPr>
      </w:pPr>
    </w:p>
    <w:p w14:paraId="2480CC67" w14:textId="0C9A30C5" w:rsidR="005B071D" w:rsidRPr="003D5FA7" w:rsidRDefault="00316414">
      <w:pPr>
        <w:spacing w:after="200"/>
        <w:jc w:val="center"/>
        <w:rPr>
          <w:rFonts w:ascii="Times New Roman" w:hAnsi="Times New Roman" w:cs="Times New Roman"/>
          <w:sz w:val="36"/>
          <w:szCs w:val="36"/>
        </w:rPr>
      </w:pPr>
      <w:r w:rsidRPr="003D5FA7">
        <w:rPr>
          <w:rFonts w:ascii="Times New Roman" w:hAnsi="Times New Roman" w:cs="Times New Roman"/>
          <w:sz w:val="36"/>
          <w:szCs w:val="36"/>
        </w:rPr>
        <w:t>Diseño Sostenible y Principios SOLID</w:t>
      </w:r>
    </w:p>
    <w:p w14:paraId="75D52285" w14:textId="77777777" w:rsidR="003D5FA7" w:rsidRPr="003D5FA7" w:rsidRDefault="003D5FA7">
      <w:pPr>
        <w:spacing w:after="200"/>
        <w:jc w:val="center"/>
        <w:rPr>
          <w:rFonts w:ascii="Times New Roman" w:hAnsi="Times New Roman" w:cs="Times New Roman"/>
          <w:sz w:val="24"/>
          <w:szCs w:val="24"/>
        </w:rPr>
      </w:pPr>
    </w:p>
    <w:p w14:paraId="7C2E452F" w14:textId="77777777" w:rsidR="005B071D" w:rsidRPr="003D5FA7" w:rsidRDefault="00316414">
      <w:pPr>
        <w:spacing w:after="800"/>
        <w:jc w:val="center"/>
        <w:rPr>
          <w:rFonts w:ascii="Times New Roman" w:hAnsi="Times New Roman" w:cs="Times New Roman"/>
          <w:sz w:val="28"/>
          <w:szCs w:val="28"/>
        </w:rPr>
      </w:pPr>
      <w:r w:rsidRPr="003D5FA7">
        <w:rPr>
          <w:rFonts w:ascii="Times New Roman" w:hAnsi="Times New Roman" w:cs="Times New Roman"/>
          <w:color w:val="595959"/>
          <w:sz w:val="28"/>
          <w:szCs w:val="28"/>
        </w:rPr>
        <w:t>Caso: DentaCare — Sistema legado de citas odontológicas (C#)</w:t>
      </w:r>
    </w:p>
    <w:p w14:paraId="16211E01" w14:textId="003C326F" w:rsidR="005B071D" w:rsidRPr="003D5FA7" w:rsidRDefault="00316414">
      <w:pPr>
        <w:spacing w:after="80"/>
        <w:jc w:val="center"/>
        <w:rPr>
          <w:rFonts w:ascii="Times New Roman" w:hAnsi="Times New Roman" w:cs="Times New Roman"/>
          <w:sz w:val="28"/>
          <w:szCs w:val="28"/>
        </w:rPr>
      </w:pPr>
      <w:r w:rsidRPr="003D5FA7">
        <w:rPr>
          <w:rFonts w:ascii="Times New Roman" w:hAnsi="Times New Roman" w:cs="Times New Roman"/>
          <w:sz w:val="28"/>
          <w:szCs w:val="28"/>
        </w:rPr>
        <w:t>Arquitectura de Software I</w:t>
      </w:r>
    </w:p>
    <w:p w14:paraId="2067881F" w14:textId="77777777" w:rsidR="003D5FA7" w:rsidRPr="003D5FA7" w:rsidRDefault="003D5FA7">
      <w:pPr>
        <w:spacing w:after="80"/>
        <w:jc w:val="center"/>
        <w:rPr>
          <w:rFonts w:ascii="Times New Roman" w:hAnsi="Times New Roman" w:cs="Times New Roman"/>
          <w:sz w:val="28"/>
          <w:szCs w:val="28"/>
        </w:rPr>
      </w:pPr>
    </w:p>
    <w:p w14:paraId="0F88BEA5" w14:textId="3EDDBECB" w:rsidR="005B071D" w:rsidRPr="003D5FA7" w:rsidRDefault="00316414">
      <w:pPr>
        <w:spacing w:after="80"/>
        <w:jc w:val="center"/>
        <w:rPr>
          <w:rFonts w:ascii="Times New Roman" w:hAnsi="Times New Roman" w:cs="Times New Roman"/>
          <w:sz w:val="28"/>
          <w:szCs w:val="28"/>
        </w:rPr>
      </w:pPr>
      <w:r w:rsidRPr="003D5FA7">
        <w:rPr>
          <w:rFonts w:ascii="Times New Roman" w:hAnsi="Times New Roman" w:cs="Times New Roman"/>
          <w:sz w:val="28"/>
          <w:szCs w:val="28"/>
        </w:rPr>
        <w:t>Entregable 1</w:t>
      </w:r>
    </w:p>
    <w:p w14:paraId="65EBED06" w14:textId="77777777" w:rsidR="003D5FA7" w:rsidRPr="003D5FA7" w:rsidRDefault="003D5FA7">
      <w:pPr>
        <w:spacing w:after="80"/>
        <w:jc w:val="center"/>
        <w:rPr>
          <w:rFonts w:ascii="Times New Roman" w:hAnsi="Times New Roman" w:cs="Times New Roman"/>
          <w:sz w:val="28"/>
          <w:szCs w:val="28"/>
        </w:rPr>
      </w:pPr>
    </w:p>
    <w:p w14:paraId="0C066EDA" w14:textId="26F0FB56" w:rsidR="005B071D" w:rsidRPr="003D5FA7" w:rsidRDefault="003D5FA7">
      <w:pPr>
        <w:spacing w:after="80"/>
        <w:jc w:val="center"/>
        <w:rPr>
          <w:rFonts w:ascii="Times New Roman" w:hAnsi="Times New Roman" w:cs="Times New Roman"/>
          <w:sz w:val="28"/>
          <w:szCs w:val="28"/>
        </w:rPr>
      </w:pPr>
      <w:r w:rsidRPr="003D5FA7">
        <w:rPr>
          <w:rFonts w:ascii="Times New Roman" w:hAnsi="Times New Roman" w:cs="Times New Roman"/>
          <w:sz w:val="28"/>
          <w:szCs w:val="28"/>
        </w:rPr>
        <w:t>Juan José Medina Sepúlveda</w:t>
      </w:r>
    </w:p>
    <w:p w14:paraId="05E6EB43" w14:textId="77777777" w:rsidR="003D5FA7" w:rsidRPr="003D5FA7" w:rsidRDefault="003D5FA7">
      <w:pPr>
        <w:spacing w:after="80"/>
        <w:jc w:val="center"/>
        <w:rPr>
          <w:rFonts w:ascii="Times New Roman" w:hAnsi="Times New Roman" w:cs="Times New Roman"/>
          <w:sz w:val="28"/>
          <w:szCs w:val="28"/>
        </w:rPr>
      </w:pPr>
    </w:p>
    <w:p w14:paraId="6DD7496E" w14:textId="06DC14BA" w:rsidR="005B071D" w:rsidRPr="003D5FA7" w:rsidRDefault="003D5FA7">
      <w:pPr>
        <w:spacing w:after="80"/>
        <w:jc w:val="center"/>
        <w:rPr>
          <w:rFonts w:ascii="Times New Roman" w:hAnsi="Times New Roman" w:cs="Times New Roman"/>
          <w:sz w:val="28"/>
          <w:szCs w:val="28"/>
        </w:rPr>
      </w:pPr>
      <w:r w:rsidRPr="003D5FA7">
        <w:rPr>
          <w:rFonts w:ascii="Times New Roman" w:hAnsi="Times New Roman" w:cs="Times New Roman"/>
          <w:sz w:val="28"/>
          <w:szCs w:val="28"/>
        </w:rPr>
        <w:t>Manuel Alejandro Domínguez Guerrero</w:t>
      </w:r>
    </w:p>
    <w:p w14:paraId="4413DD91" w14:textId="4927CDC8" w:rsidR="003D5FA7" w:rsidRPr="003D5FA7" w:rsidRDefault="003D5FA7">
      <w:pPr>
        <w:spacing w:after="80"/>
        <w:jc w:val="center"/>
        <w:rPr>
          <w:rFonts w:ascii="Times New Roman" w:hAnsi="Times New Roman" w:cs="Times New Roman"/>
          <w:sz w:val="28"/>
          <w:szCs w:val="28"/>
        </w:rPr>
      </w:pPr>
    </w:p>
    <w:p w14:paraId="170E3DC9" w14:textId="4470B44A" w:rsidR="003D5FA7" w:rsidRPr="003D5FA7" w:rsidRDefault="003D5FA7">
      <w:pPr>
        <w:spacing w:after="80"/>
        <w:jc w:val="center"/>
        <w:rPr>
          <w:rFonts w:ascii="Times New Roman" w:hAnsi="Times New Roman" w:cs="Times New Roman"/>
          <w:sz w:val="28"/>
          <w:szCs w:val="28"/>
        </w:rPr>
      </w:pPr>
      <w:r w:rsidRPr="003D5FA7">
        <w:rPr>
          <w:rFonts w:ascii="Times New Roman" w:hAnsi="Times New Roman" w:cs="Times New Roman"/>
          <w:sz w:val="28"/>
          <w:szCs w:val="28"/>
        </w:rPr>
        <w:t xml:space="preserve">Institución Universitaria ITM </w:t>
      </w:r>
    </w:p>
    <w:p w14:paraId="32C161E9" w14:textId="3FD5F81E" w:rsidR="003D5FA7" w:rsidRPr="003D5FA7" w:rsidRDefault="003D5FA7">
      <w:pPr>
        <w:spacing w:after="80"/>
        <w:jc w:val="center"/>
        <w:rPr>
          <w:rFonts w:ascii="Times New Roman" w:hAnsi="Times New Roman" w:cs="Times New Roman"/>
          <w:sz w:val="28"/>
          <w:szCs w:val="28"/>
        </w:rPr>
      </w:pPr>
    </w:p>
    <w:p w14:paraId="0E9C73E3" w14:textId="0C5DA8C6" w:rsidR="003D5FA7" w:rsidRPr="003D5FA7" w:rsidRDefault="003D5FA7">
      <w:pPr>
        <w:spacing w:after="80"/>
        <w:jc w:val="center"/>
        <w:rPr>
          <w:rFonts w:ascii="Times New Roman" w:hAnsi="Times New Roman" w:cs="Times New Roman"/>
          <w:sz w:val="28"/>
          <w:szCs w:val="28"/>
        </w:rPr>
      </w:pPr>
      <w:r w:rsidRPr="003D5FA7">
        <w:rPr>
          <w:rFonts w:ascii="Times New Roman" w:hAnsi="Times New Roman" w:cs="Times New Roman"/>
          <w:sz w:val="28"/>
          <w:szCs w:val="28"/>
        </w:rPr>
        <w:t>Medellín-Antioquia</w:t>
      </w:r>
    </w:p>
    <w:p w14:paraId="002062C4" w14:textId="77777777" w:rsidR="003D5FA7" w:rsidRPr="003D5FA7" w:rsidRDefault="003D5FA7">
      <w:pPr>
        <w:spacing w:after="80"/>
        <w:jc w:val="center"/>
        <w:rPr>
          <w:rFonts w:ascii="Times New Roman" w:hAnsi="Times New Roman" w:cs="Times New Roman"/>
          <w:sz w:val="28"/>
          <w:szCs w:val="28"/>
        </w:rPr>
      </w:pPr>
    </w:p>
    <w:p w14:paraId="2095449F" w14:textId="75799A78" w:rsidR="005B071D" w:rsidRPr="003D5FA7" w:rsidRDefault="003D5FA7" w:rsidP="003D5FA7">
      <w:pPr>
        <w:spacing w:after="80"/>
        <w:jc w:val="center"/>
        <w:rPr>
          <w:rFonts w:ascii="Times New Roman" w:hAnsi="Times New Roman" w:cs="Times New Roman"/>
          <w:sz w:val="24"/>
          <w:szCs w:val="24"/>
        </w:rPr>
      </w:pPr>
      <w:r w:rsidRPr="003D5FA7">
        <w:rPr>
          <w:rFonts w:ascii="Times New Roman" w:hAnsi="Times New Roman" w:cs="Times New Roman"/>
          <w:sz w:val="28"/>
          <w:szCs w:val="28"/>
        </w:rPr>
        <w:t>30/09/2026</w:t>
      </w:r>
      <w:r w:rsidR="00316414" w:rsidRPr="003D5FA7">
        <w:rPr>
          <w:rFonts w:ascii="Times New Roman" w:hAnsi="Times New Roman" w:cs="Times New Roman"/>
          <w:sz w:val="24"/>
          <w:szCs w:val="24"/>
        </w:rPr>
        <w:br w:type="page"/>
      </w:r>
    </w:p>
    <w:p w14:paraId="197651B8"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lastRenderedPageBreak/>
        <w:t>1. Introducción y alcance</w:t>
      </w:r>
    </w:p>
    <w:p w14:paraId="6B29BE08"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Este informe documenta el diagnóstico cuantitativo y cualitativo del sistema legado </w:t>
      </w:r>
      <w:r w:rsidRPr="003D5FA7">
        <w:rPr>
          <w:rFonts w:ascii="Times New Roman" w:hAnsi="Times New Roman" w:cs="Times New Roman"/>
          <w:b/>
          <w:bCs/>
          <w:sz w:val="24"/>
          <w:szCs w:val="24"/>
        </w:rPr>
        <w:t>DentaCare.Legacy</w:t>
      </w:r>
      <w:r w:rsidRPr="003D5FA7">
        <w:rPr>
          <w:rFonts w:ascii="Times New Roman" w:hAnsi="Times New Roman" w:cs="Times New Roman"/>
          <w:sz w:val="24"/>
          <w:szCs w:val="24"/>
        </w:rPr>
        <w:t>, una solución en C# que gestiona citas de una clínica odontológica. El objetivo es identificar violaciones de los principios SOLID, establecer una línea base de métricas de cohesión y acoplamiento, y sentar las bases para la refactorización (</w:t>
      </w:r>
      <w:r w:rsidRPr="003D5FA7">
        <w:rPr>
          <w:rFonts w:ascii="Times New Roman" w:eastAsia="Consolas" w:hAnsi="Times New Roman" w:cs="Times New Roman"/>
          <w:sz w:val="24"/>
          <w:szCs w:val="24"/>
        </w:rPr>
        <w:t>DentalCare.Re</w:t>
      </w:r>
      <w:r w:rsidRPr="003D5FA7">
        <w:rPr>
          <w:rFonts w:ascii="Times New Roman" w:eastAsia="Consolas" w:hAnsi="Times New Roman" w:cs="Times New Roman"/>
          <w:sz w:val="24"/>
          <w:szCs w:val="24"/>
        </w:rPr>
        <w:t>factored</w:t>
      </w:r>
      <w:r w:rsidRPr="003D5FA7">
        <w:rPr>
          <w:rFonts w:ascii="Times New Roman" w:hAnsi="Times New Roman" w:cs="Times New Roman"/>
          <w:sz w:val="24"/>
          <w:szCs w:val="24"/>
        </w:rPr>
        <w:t>) y los ADRs correspondientes.</w:t>
      </w:r>
    </w:p>
    <w:p w14:paraId="3B6C2FF8"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El trabajo es de </w:t>
      </w:r>
      <w:r w:rsidRPr="003D5FA7">
        <w:rPr>
          <w:rFonts w:ascii="Times New Roman" w:hAnsi="Times New Roman" w:cs="Times New Roman"/>
          <w:b/>
          <w:bCs/>
          <w:sz w:val="24"/>
          <w:szCs w:val="24"/>
        </w:rPr>
        <w:t>arquitectura de software</w:t>
      </w:r>
      <w:r w:rsidRPr="003D5FA7">
        <w:rPr>
          <w:rFonts w:ascii="Times New Roman" w:hAnsi="Times New Roman" w:cs="Times New Roman"/>
          <w:sz w:val="24"/>
          <w:szCs w:val="24"/>
        </w:rPr>
        <w:t>: el código suministrado no tiene funcionalidad real (la base de datos, el SMTP y Twilio están simulados) y sirve únicamente como estructura para analizar responsabilidades, de</w:t>
      </w:r>
      <w:r w:rsidRPr="003D5FA7">
        <w:rPr>
          <w:rFonts w:ascii="Times New Roman" w:hAnsi="Times New Roman" w:cs="Times New Roman"/>
          <w:sz w:val="24"/>
          <w:szCs w:val="24"/>
        </w:rPr>
        <w:t>pendencias y decisiones de diseño.</w:t>
      </w:r>
    </w:p>
    <w:p w14:paraId="407908B2"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1.1. Estado del informe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5B071D" w:rsidRPr="003D5FA7" w14:paraId="4D6D3894"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E4F7911"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Sección de la práctica</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9E46A4D"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Estado</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ACEDFD1"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Contenido</w:t>
            </w:r>
          </w:p>
        </w:tc>
      </w:tr>
      <w:tr w:rsidR="005B071D" w:rsidRPr="003D5FA7" w14:paraId="43168E0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22075E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Fase 1 — Matriz de violaciones SOLID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592871"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Completa</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714FF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Sección 4, con evidencia por archivo y línea</w:t>
            </w:r>
          </w:p>
        </w:tc>
      </w:tr>
      <w:tr w:rsidR="005B071D" w:rsidRPr="003D5FA7" w14:paraId="34D8253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3546D3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Fase 1 — Línea base cuantitativa</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8EE2D9E"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Completa</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458FC6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Sección 6: LCOM96b, Ca, Ce, I, A, D y Zona de Dolor</w:t>
            </w:r>
          </w:p>
        </w:tc>
      </w:tr>
      <w:tr w:rsidR="005B071D" w:rsidRPr="003D5FA7" w14:paraId="34F89E4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3182CA8"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Fase 2 — Refactorización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1761108"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Pendiente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9783E3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Sección 8 (a completar tras diseñar </w:t>
            </w:r>
            <w:r w:rsidRPr="003D5FA7">
              <w:rPr>
                <w:rFonts w:ascii="Times New Roman" w:eastAsia="Consolas" w:hAnsi="Times New Roman" w:cs="Times New Roman"/>
                <w:sz w:val="24"/>
                <w:szCs w:val="24"/>
              </w:rPr>
              <w:t>DentalCare.Refactored</w:t>
            </w:r>
            <w:r w:rsidRPr="003D5FA7">
              <w:rPr>
                <w:rFonts w:ascii="Times New Roman" w:hAnsi="Times New Roman" w:cs="Times New Roman"/>
                <w:sz w:val="24"/>
                <w:szCs w:val="24"/>
              </w:rPr>
              <w:t>)</w:t>
            </w:r>
          </w:p>
        </w:tc>
      </w:tr>
      <w:tr w:rsidR="005B071D" w:rsidRPr="003D5FA7" w14:paraId="72DB5D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0DDB847"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Fase 3 — Recálculo de métricas</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4F36080"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Pendiente</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7C9C6C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Sección 7: la tabla comparativa ya tiene la columna «Antes»</w:t>
            </w:r>
          </w:p>
        </w:tc>
      </w:tr>
      <w:tr w:rsidR="005B071D" w:rsidRPr="003D5FA7" w14:paraId="275B455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93E52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Fase 4 — ADRs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CB628A"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Pendiente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D8FF94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ADR-001 y ADR-002 en </w:t>
            </w:r>
            <w:r w:rsidRPr="003D5FA7">
              <w:rPr>
                <w:rFonts w:ascii="Times New Roman" w:eastAsia="Consolas" w:hAnsi="Times New Roman" w:cs="Times New Roman"/>
                <w:sz w:val="24"/>
                <w:szCs w:val="24"/>
              </w:rPr>
              <w:t>docs/adr/</w:t>
            </w:r>
            <w:r w:rsidRPr="003D5FA7">
              <w:rPr>
                <w:rFonts w:ascii="Times New Roman" w:hAnsi="Times New Roman" w:cs="Times New Roman"/>
                <w:sz w:val="24"/>
                <w:szCs w:val="24"/>
              </w:rPr>
              <w:t>; se referenciarán aquí</w:t>
            </w:r>
          </w:p>
        </w:tc>
      </w:tr>
    </w:tbl>
    <w:p w14:paraId="738073BF" w14:textId="77777777" w:rsidR="005B071D" w:rsidRPr="003D5FA7" w:rsidRDefault="005B071D">
      <w:pPr>
        <w:spacing w:after="120"/>
        <w:rPr>
          <w:rFonts w:ascii="Times New Roman" w:hAnsi="Times New Roman" w:cs="Times New Roman"/>
          <w:sz w:val="24"/>
          <w:szCs w:val="24"/>
        </w:rPr>
      </w:pPr>
    </w:p>
    <w:p w14:paraId="21E54F5D"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1.2. Convención de citas de código</w:t>
      </w:r>
    </w:p>
    <w:p w14:paraId="752268B1"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Las líneas se citan como </w:t>
      </w:r>
      <w:r w:rsidRPr="003D5FA7">
        <w:rPr>
          <w:rFonts w:ascii="Times New Roman" w:eastAsia="Consolas" w:hAnsi="Times New Roman" w:cs="Times New Roman"/>
          <w:sz w:val="24"/>
          <w:szCs w:val="24"/>
        </w:rPr>
        <w:t>Archivo.cs, L.n</w:t>
      </w:r>
      <w:r w:rsidRPr="003D5FA7">
        <w:rPr>
          <w:rFonts w:ascii="Times New Roman" w:hAnsi="Times New Roman" w:cs="Times New Roman"/>
          <w:sz w:val="24"/>
          <w:szCs w:val="24"/>
        </w:rPr>
        <w:t xml:space="preserve">, contando desde la primera línea de cada archivo (la directiva </w:t>
      </w:r>
      <w:r w:rsidRPr="003D5FA7">
        <w:rPr>
          <w:rFonts w:ascii="Times New Roman" w:eastAsia="Consolas" w:hAnsi="Times New Roman" w:cs="Times New Roman"/>
          <w:sz w:val="24"/>
          <w:szCs w:val="24"/>
        </w:rPr>
        <w:t>using</w:t>
      </w:r>
      <w:r w:rsidRPr="003D5FA7">
        <w:rPr>
          <w:rFonts w:ascii="Times New Roman" w:hAnsi="Times New Roman" w:cs="Times New Roman"/>
          <w:sz w:val="24"/>
          <w:szCs w:val="24"/>
        </w:rPr>
        <w:t xml:space="preserve"> inicial es la L.1) según el listado de código suministrado. Antes de entregar, se recomienda verificarlas en Visual Studio (Ctrl+G, «Ir a la línea») por si el formato local difiere.</w:t>
      </w:r>
    </w:p>
    <w:p w14:paraId="44173A33"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2. D</w:t>
      </w:r>
      <w:r w:rsidRPr="003D5FA7">
        <w:rPr>
          <w:rFonts w:ascii="Times New Roman" w:hAnsi="Times New Roman" w:cs="Times New Roman"/>
          <w:sz w:val="24"/>
          <w:szCs w:val="24"/>
        </w:rPr>
        <w:t>escripción del sistema legado</w:t>
      </w:r>
    </w:p>
    <w:p w14:paraId="4A207F95"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La solución </w:t>
      </w:r>
      <w:r w:rsidRPr="003D5FA7">
        <w:rPr>
          <w:rFonts w:ascii="Times New Roman" w:eastAsia="Consolas" w:hAnsi="Times New Roman" w:cs="Times New Roman"/>
          <w:sz w:val="24"/>
          <w:szCs w:val="24"/>
        </w:rPr>
        <w:t>DentaCare.Legacy</w:t>
      </w:r>
      <w:r w:rsidRPr="003D5FA7">
        <w:rPr>
          <w:rFonts w:ascii="Times New Roman" w:hAnsi="Times New Roman" w:cs="Times New Roman"/>
          <w:sz w:val="24"/>
          <w:szCs w:val="24"/>
        </w:rPr>
        <w:t xml:space="preserve"> está compuesta por siete archivos. La lógica de negocio y la orquestación se concentran en una sola clase, </w:t>
      </w:r>
      <w:r w:rsidRPr="003D5FA7">
        <w:rPr>
          <w:rFonts w:ascii="Times New Roman" w:eastAsia="Consolas" w:hAnsi="Times New Roman" w:cs="Times New Roman"/>
          <w:sz w:val="24"/>
          <w:szCs w:val="24"/>
        </w:rPr>
        <w:t>GestorCitasOdontologicas</w:t>
      </w:r>
      <w:r w:rsidRPr="003D5FA7">
        <w:rPr>
          <w:rFonts w:ascii="Times New Roman" w:hAnsi="Times New Roman" w:cs="Times New Roman"/>
          <w:sz w:val="24"/>
          <w:szCs w:val="24"/>
        </w:rPr>
        <w:t>, que instancia directamente sus dependencias de infraestructura.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1989"/>
        <w:gridCol w:w="4378"/>
      </w:tblGrid>
      <w:tr w:rsidR="005B071D" w:rsidRPr="003D5FA7" w14:paraId="7D038AC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BCB54C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lastRenderedPageBreak/>
              <w:t>Archivo</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280A52C"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Tipo</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C4D5004"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Rol</w:t>
            </w:r>
          </w:p>
        </w:tc>
      </w:tr>
      <w:tr w:rsidR="005B071D" w:rsidRPr="003D5FA7" w14:paraId="2446A09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BF018FD"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Program.cs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FB5EFB"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Punto de entrada</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A777816"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Crea el gestor con </w:t>
            </w:r>
            <w:r w:rsidRPr="003D5FA7">
              <w:rPr>
                <w:rFonts w:ascii="Times New Roman" w:eastAsia="Consolas" w:hAnsi="Times New Roman" w:cs="Times New Roman"/>
                <w:sz w:val="24"/>
                <w:szCs w:val="24"/>
              </w:rPr>
              <w:t>new</w:t>
            </w:r>
            <w:r w:rsidRPr="003D5FA7">
              <w:rPr>
                <w:rFonts w:ascii="Times New Roman" w:hAnsi="Times New Roman" w:cs="Times New Roman"/>
                <w:sz w:val="24"/>
                <w:szCs w:val="24"/>
              </w:rPr>
              <w:t xml:space="preserve"> y ejecuta tres flujos: agendar, cancelar y reportar totales.</w:t>
            </w:r>
          </w:p>
        </w:tc>
      </w:tr>
      <w:tr w:rsidR="005B071D" w:rsidRPr="003D5FA7" w14:paraId="388DE2A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48C587D"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72B88C1"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Clase de servicio (God Class)</w:t>
            </w:r>
          </w:p>
        </w:tc>
        <w:tc>
          <w:tcPr>
            <w:tcW w:w="4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C2A29A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Disponibilidad, tarifas, creación de la cita, persistencia, notificación, cancelación y totales en memoria.</w:t>
            </w:r>
          </w:p>
        </w:tc>
      </w:tr>
      <w:tr w:rsidR="005B071D" w:rsidRPr="003D5FA7" w14:paraId="1B3ACA3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63E31AF"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SqlServerEjecutor.cs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B04E5D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Infraestructura</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F10AD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Persistencia en SQL Server con </w:t>
            </w:r>
            <w:r w:rsidRPr="003D5FA7">
              <w:rPr>
                <w:rFonts w:ascii="Times New Roman" w:eastAsia="Consolas" w:hAnsi="Times New Roman" w:cs="Times New Roman"/>
                <w:sz w:val="24"/>
                <w:szCs w:val="24"/>
              </w:rPr>
              <w:t>SqlCommand</w:t>
            </w:r>
            <w:r w:rsidRPr="003D5FA7">
              <w:rPr>
                <w:rFonts w:ascii="Times New Roman" w:hAnsi="Times New Roman" w:cs="Times New Roman"/>
                <w:sz w:val="24"/>
                <w:szCs w:val="24"/>
              </w:rPr>
              <w:t xml:space="preserve"> embebido y cadena de conexión con credenciales.</w:t>
            </w:r>
          </w:p>
        </w:tc>
      </w:tr>
      <w:tr w:rsidR="005B071D" w:rsidRPr="003D5FA7" w14:paraId="628B1DB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96CFC45"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NotificacionServicio.cs</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516BDC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Infraestructura</w:t>
            </w:r>
          </w:p>
        </w:tc>
        <w:tc>
          <w:tcPr>
            <w:tcW w:w="4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47C6066"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Envío de correo (SMTP) y SMS (Twilio simulado) en un único método.</w:t>
            </w:r>
          </w:p>
        </w:tc>
      </w:tr>
      <w:tr w:rsidR="005B071D" w:rsidRPr="003D5FA7" w14:paraId="11554CF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FFEEA5"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Cita.cs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72D867"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Entidad</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6E4C48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Datos de la cita y </w:t>
            </w:r>
            <w:r w:rsidRPr="003D5FA7">
              <w:rPr>
                <w:rFonts w:ascii="Times New Roman" w:eastAsia="Consolas" w:hAnsi="Times New Roman" w:cs="Times New Roman"/>
                <w:sz w:val="24"/>
                <w:szCs w:val="24"/>
              </w:rPr>
              <w:t>GenerarTextoConfirmacion()</w:t>
            </w:r>
            <w:r w:rsidRPr="003D5FA7">
              <w:rPr>
                <w:rFonts w:ascii="Times New Roman" w:hAnsi="Times New Roman" w:cs="Times New Roman"/>
                <w:sz w:val="24"/>
                <w:szCs w:val="24"/>
              </w:rPr>
              <w:t>.</w:t>
            </w:r>
          </w:p>
        </w:tc>
      </w:tr>
      <w:tr w:rsidR="005B071D" w:rsidRPr="003D5FA7" w14:paraId="4B7ED6F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07636E3"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Paciente.cs</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2245AD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Entidad</w:t>
            </w:r>
          </w:p>
        </w:tc>
        <w:tc>
          <w:tcPr>
            <w:tcW w:w="4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7BCA7D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Datos del paciente; </w:t>
            </w:r>
            <w:r w:rsidRPr="003D5FA7">
              <w:rPr>
                <w:rFonts w:ascii="Times New Roman" w:eastAsia="Consolas" w:hAnsi="Times New Roman" w:cs="Times New Roman"/>
                <w:sz w:val="24"/>
                <w:szCs w:val="24"/>
              </w:rPr>
              <w:t>TipoConvenio</w:t>
            </w:r>
            <w:r w:rsidRPr="003D5FA7">
              <w:rPr>
                <w:rFonts w:ascii="Times New Roman" w:hAnsi="Times New Roman" w:cs="Times New Roman"/>
                <w:sz w:val="24"/>
                <w:szCs w:val="24"/>
              </w:rPr>
              <w:t xml:space="preserve"> codificado como entero.</w:t>
            </w:r>
          </w:p>
        </w:tc>
      </w:tr>
      <w:tr w:rsidR="005B071D" w:rsidRPr="003D5FA7" w14:paraId="79AD06D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C0A8E7C"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Odontologo.cs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091E7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Entidad</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4E17E0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Datos del odontólogo; </w:t>
            </w:r>
            <w:r w:rsidRPr="003D5FA7">
              <w:rPr>
                <w:rFonts w:ascii="Times New Roman" w:eastAsia="Consolas" w:hAnsi="Times New Roman" w:cs="Times New Roman"/>
                <w:sz w:val="24"/>
                <w:szCs w:val="24"/>
              </w:rPr>
              <w:t>EspecialidadId</w:t>
            </w:r>
            <w:r w:rsidRPr="003D5FA7">
              <w:rPr>
                <w:rFonts w:ascii="Times New Roman" w:hAnsi="Times New Roman" w:cs="Times New Roman"/>
                <w:sz w:val="24"/>
                <w:szCs w:val="24"/>
              </w:rPr>
              <w:t xml:space="preserve"> codificado como entero.</w:t>
            </w:r>
          </w:p>
        </w:tc>
      </w:tr>
    </w:tbl>
    <w:p w14:paraId="7DEB812C" w14:textId="77777777" w:rsidR="005B071D" w:rsidRPr="003D5FA7" w:rsidRDefault="005B071D">
      <w:pPr>
        <w:spacing w:after="120"/>
        <w:rPr>
          <w:rFonts w:ascii="Times New Roman" w:hAnsi="Times New Roman" w:cs="Times New Roman"/>
          <w:sz w:val="24"/>
          <w:szCs w:val="24"/>
        </w:rPr>
      </w:pPr>
    </w:p>
    <w:p w14:paraId="4EC781ED"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2.1. Responsabilidades acumuladas en GestorCitasOdontologicas</w:t>
      </w:r>
    </w:p>
    <w:p w14:paraId="56D02E33"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w:t>
      </w:r>
    </w:p>
    <w:p w14:paraId="0B8930D9"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Validación de disponibilidad del odontólogo      (L.14–17)</w:t>
      </w:r>
    </w:p>
    <w:p w14:paraId="2923B1E6"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Cálculo de tarifa por especialidad               (L.19–37)</w:t>
      </w:r>
    </w:p>
    <w:p w14:paraId="596C9FD1"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Descuento por convenio y recargos   </w:t>
      </w:r>
      <w:r w:rsidRPr="003D5FA7">
        <w:rPr>
          <w:rFonts w:ascii="Times New Roman" w:eastAsia="Consolas" w:hAnsi="Times New Roman" w:cs="Times New Roman"/>
          <w:sz w:val="24"/>
          <w:szCs w:val="24"/>
        </w:rPr>
        <w:t xml:space="preserve">             (L.39–57)</w:t>
      </w:r>
    </w:p>
    <w:p w14:paraId="373BF7E8"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Construcción de la Cita y generación del Id      (L.58–66)</w:t>
      </w:r>
    </w:p>
    <w:p w14:paraId="12A2571A"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Persistencia SQL Server (vía SqlServerEjecutor)  (L.68, L.88)</w:t>
      </w:r>
    </w:p>
    <w:p w14:paraId="78F42F6C"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Notificaciones Email/SMS                         (L.69, L.89)</w:t>
      </w:r>
    </w:p>
    <w:p w14:paraId="4ACC3E2A"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Política de cancelación y pena</w:t>
      </w:r>
      <w:r w:rsidRPr="003D5FA7">
        <w:rPr>
          <w:rFonts w:ascii="Times New Roman" w:eastAsia="Consolas" w:hAnsi="Times New Roman" w:cs="Times New Roman"/>
          <w:sz w:val="24"/>
          <w:szCs w:val="24"/>
        </w:rPr>
        <w:t>lización           (L.77–86)</w:t>
      </w:r>
    </w:p>
    <w:p w14:paraId="1879BBE2"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 xml:space="preserve"> └── Acumuladores de reporte en memoria               (L.9–10, 71, 91, 95, 97)</w:t>
      </w:r>
    </w:p>
    <w:p w14:paraId="112992CA" w14:textId="77777777" w:rsidR="005B071D" w:rsidRPr="003D5FA7" w:rsidRDefault="005B071D">
      <w:pPr>
        <w:spacing w:after="120"/>
        <w:rPr>
          <w:rFonts w:ascii="Times New Roman" w:hAnsi="Times New Roman" w:cs="Times New Roman"/>
          <w:sz w:val="24"/>
          <w:szCs w:val="24"/>
        </w:rPr>
      </w:pPr>
    </w:p>
    <w:p w14:paraId="02F10004"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3. Línea base funcional</w:t>
      </w:r>
    </w:p>
    <w:p w14:paraId="729A4881"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Para poder demostrar más adelante que la refactorización </w:t>
      </w:r>
      <w:r w:rsidRPr="003D5FA7">
        <w:rPr>
          <w:rFonts w:ascii="Times New Roman" w:hAnsi="Times New Roman" w:cs="Times New Roman"/>
          <w:b/>
          <w:bCs/>
          <w:sz w:val="24"/>
          <w:szCs w:val="24"/>
        </w:rPr>
        <w:t>no altera el comportamiento</w:t>
      </w:r>
      <w:r w:rsidRPr="003D5FA7">
        <w:rPr>
          <w:rFonts w:ascii="Times New Roman" w:hAnsi="Times New Roman" w:cs="Times New Roman"/>
          <w:sz w:val="24"/>
          <w:szCs w:val="24"/>
        </w:rPr>
        <w:t xml:space="preserve">, se fija el resultado esperado del escenario de </w:t>
      </w:r>
      <w:r w:rsidRPr="003D5FA7">
        <w:rPr>
          <w:rFonts w:ascii="Times New Roman" w:eastAsia="Consolas" w:hAnsi="Times New Roman" w:cs="Times New Roman"/>
          <w:sz w:val="24"/>
          <w:szCs w:val="24"/>
        </w:rPr>
        <w:t>Program.cs</w:t>
      </w:r>
      <w:r w:rsidRPr="003D5FA7">
        <w:rPr>
          <w:rFonts w:ascii="Times New Roman" w:hAnsi="Times New Roman" w:cs="Times New Roman"/>
          <w:sz w:val="24"/>
          <w:szCs w:val="24"/>
        </w:rPr>
        <w:t>: paciente de convenio EPS y primera vez, odontólogo de Cirugía, radiografía requerida, cita a 12 horas y cancelación inmediata.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8"/>
        <w:gridCol w:w="3053"/>
        <w:gridCol w:w="2709"/>
      </w:tblGrid>
      <w:tr w:rsidR="005B071D" w:rsidRPr="003D5FA7" w14:paraId="616038AA"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3DC7FC4"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lastRenderedPageBreak/>
              <w:t>Paso</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1E5932"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Regla aplicada (línea)</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050A894"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Resultado</w:t>
            </w:r>
          </w:p>
        </w:tc>
      </w:tr>
      <w:tr w:rsidR="005B071D" w:rsidRPr="003D5FA7" w14:paraId="4281BFBA"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6AB82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Costo base de consulta</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28C886"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L.19</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A1BAA2"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100,00</w:t>
            </w:r>
          </w:p>
        </w:tc>
      </w:tr>
      <w:tr w:rsidR="005B071D" w:rsidRPr="003D5FA7" w14:paraId="630ECA68"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6A52B7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Especialidad Cirugía (×2,5)</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9817FD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L.30–33</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811845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250,00</w:t>
            </w:r>
          </w:p>
        </w:tc>
      </w:tr>
      <w:tr w:rsidR="005B071D" w:rsidRPr="003D5FA7" w14:paraId="4E0EAE9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977D897"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Convenio EPS (×0,30)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5BCE66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L.40–43</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ADFFD8D"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75,00</w:t>
            </w:r>
          </w:p>
        </w:tc>
      </w:tr>
      <w:tr w:rsidR="005B071D" w:rsidRPr="003D5FA7" w14:paraId="65A6424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44BA7D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Primera vez (+20)</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5721782"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L.49–52</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4FC7F24"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95,00</w:t>
            </w:r>
          </w:p>
        </w:tc>
      </w:tr>
      <w:tr w:rsidR="005B071D" w:rsidRPr="003D5FA7" w14:paraId="5C4CC6D6"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64A3C9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Radiografía (+35)</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9045F86"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L.54–57</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7D187A0"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130,00 (copago final)</w:t>
            </w:r>
          </w:p>
        </w:tc>
      </w:tr>
      <w:tr w:rsidR="005B071D" w:rsidRPr="003D5FA7" w14:paraId="14DCD289"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874E50D"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Cancelación a menos de 24 h: 50 + 40 por Cirugía</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783C70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L.79–83</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576AD22"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90,00 (penalización)</w:t>
            </w:r>
          </w:p>
        </w:tc>
      </w:tr>
    </w:tbl>
    <w:p w14:paraId="76859BCC" w14:textId="77777777" w:rsidR="005B071D" w:rsidRPr="003D5FA7" w:rsidRDefault="005B071D">
      <w:pPr>
        <w:spacing w:after="120"/>
        <w:rPr>
          <w:rFonts w:ascii="Times New Roman" w:hAnsi="Times New Roman" w:cs="Times New Roman"/>
          <w:sz w:val="24"/>
          <w:szCs w:val="24"/>
        </w:rPr>
      </w:pPr>
    </w:p>
    <w:p w14:paraId="7EB6CCA1"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Estos dos valores (130,00 y 90,00) serán los casos de aceptación de la versión refactorizada.</w:t>
      </w:r>
    </w:p>
    <w:p w14:paraId="45D52F81"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4. Fase 1 — Diagnóstico SOLID</w:t>
      </w:r>
    </w:p>
    <w:p w14:paraId="1E8C3AD0"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Resumen de violaciones. En SRP, OCP y DIP la violación es directa y verificable en el código; en LSP e ISP el sistema legado carece </w:t>
      </w:r>
      <w:r w:rsidRPr="003D5FA7">
        <w:rPr>
          <w:rFonts w:ascii="Times New Roman" w:hAnsi="Times New Roman" w:cs="Times New Roman"/>
          <w:sz w:val="24"/>
          <w:szCs w:val="24"/>
        </w:rPr>
        <w:t xml:space="preserve">de herencia e interfaces, por lo que la violación se presenta como </w:t>
      </w:r>
      <w:r w:rsidRPr="003D5FA7">
        <w:rPr>
          <w:rFonts w:ascii="Times New Roman" w:hAnsi="Times New Roman" w:cs="Times New Roman"/>
          <w:b/>
          <w:bCs/>
          <w:sz w:val="24"/>
          <w:szCs w:val="24"/>
        </w:rPr>
        <w:t>indirecta o por ausencia de abstracciones</w:t>
      </w:r>
      <w:r w:rsidRPr="003D5FA7">
        <w:rPr>
          <w:rFonts w:ascii="Times New Roman" w:hAnsi="Times New Roman" w:cs="Times New Roman"/>
          <w:sz w:val="24"/>
          <w:szCs w:val="24"/>
        </w:rPr>
        <w:t xml:space="preserve"> (ver el detalle de cada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669"/>
        <w:gridCol w:w="6544"/>
      </w:tblGrid>
      <w:tr w:rsidR="005B071D" w:rsidRPr="003D5FA7" w14:paraId="0DF7F8B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4B8F3F7"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Principio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673F94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Tipo de violación</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A2E5176"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Síntesis</w:t>
            </w:r>
          </w:p>
        </w:tc>
      </w:tr>
      <w:tr w:rsidR="005B071D" w:rsidRPr="003D5FA7" w14:paraId="5DE4412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CED40"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SRP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3F6A49C"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Directa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815F852"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w:t>
            </w:r>
            <w:r w:rsidRPr="003D5FA7">
              <w:rPr>
                <w:rFonts w:ascii="Times New Roman" w:hAnsi="Times New Roman" w:cs="Times New Roman"/>
                <w:sz w:val="24"/>
                <w:szCs w:val="24"/>
              </w:rPr>
              <w:t xml:space="preserve"> reúne al menos siete responsabilidades con actores distintos (negocio, tesorería, infraestructura, comunicación).</w:t>
            </w:r>
          </w:p>
        </w:tc>
      </w:tr>
      <w:tr w:rsidR="005B071D" w:rsidRPr="003D5FA7" w14:paraId="62C5057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8A51798"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OCP</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086D732"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Directa</w:t>
            </w:r>
          </w:p>
        </w:tc>
        <w:tc>
          <w:tcPr>
            <w:tcW w:w="6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FFA5CC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Cadenas </w:t>
            </w:r>
            <w:r w:rsidRPr="003D5FA7">
              <w:rPr>
                <w:rFonts w:ascii="Times New Roman" w:eastAsia="Consolas" w:hAnsi="Times New Roman" w:cs="Times New Roman"/>
                <w:sz w:val="24"/>
                <w:szCs w:val="24"/>
              </w:rPr>
              <w:t>if/else</w:t>
            </w:r>
            <w:r w:rsidRPr="003D5FA7">
              <w:rPr>
                <w:rFonts w:ascii="Times New Roman" w:hAnsi="Times New Roman" w:cs="Times New Roman"/>
                <w:sz w:val="24"/>
                <w:szCs w:val="24"/>
              </w:rPr>
              <w:t xml:space="preserve"> por especialidad, convenio y tipo de cita: cada variante nueva obliga a modificar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o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w:t>
            </w:r>
          </w:p>
        </w:tc>
      </w:tr>
      <w:tr w:rsidR="005B071D" w:rsidRPr="003D5FA7" w14:paraId="51B789B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B6EBC22"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LSP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2343666"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Indirecta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817BCEC"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Códigos enteros y cadenas sustituyen al polimorfismo; no existe contrato que un subtipo pueda respetar o romper.</w:t>
            </w:r>
          </w:p>
        </w:tc>
      </w:tr>
      <w:tr w:rsidR="005B071D" w:rsidRPr="003D5FA7" w14:paraId="507BDAF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92B257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ISP</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7494D53"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Indirecta</w:t>
            </w:r>
          </w:p>
        </w:tc>
        <w:tc>
          <w:tcPr>
            <w:tcW w:w="6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228561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Contratos «gordos» y concretos: un solo método envía correo </w:t>
            </w:r>
            <w:r w:rsidRPr="003D5FA7">
              <w:rPr>
                <w:rFonts w:ascii="Times New Roman" w:hAnsi="Times New Roman" w:cs="Times New Roman"/>
                <w:b/>
                <w:bCs/>
                <w:sz w:val="24"/>
                <w:szCs w:val="24"/>
              </w:rPr>
              <w:t>y</w:t>
            </w:r>
            <w:r w:rsidRPr="003D5FA7">
              <w:rPr>
                <w:rFonts w:ascii="Times New Roman" w:hAnsi="Times New Roman" w:cs="Times New Roman"/>
                <w:sz w:val="24"/>
                <w:szCs w:val="24"/>
              </w:rPr>
              <w:t xml:space="preserve"> SMS; un solo servicio de datos agrupa todas las operaciones.</w:t>
            </w:r>
          </w:p>
        </w:tc>
      </w:tr>
      <w:tr w:rsidR="005B071D" w:rsidRPr="003D5FA7" w14:paraId="0255274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A8C266C"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DIP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DAADE45"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Directa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F1DB92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El módulo de alto nivel crea con </w:t>
            </w:r>
            <w:r w:rsidRPr="003D5FA7">
              <w:rPr>
                <w:rFonts w:ascii="Times New Roman" w:eastAsia="Consolas" w:hAnsi="Times New Roman" w:cs="Times New Roman"/>
                <w:sz w:val="24"/>
                <w:szCs w:val="24"/>
              </w:rPr>
              <w:t>new</w:t>
            </w:r>
            <w:r w:rsidRPr="003D5FA7">
              <w:rPr>
                <w:rFonts w:ascii="Times New Roman" w:hAnsi="Times New Roman" w:cs="Times New Roman"/>
                <w:sz w:val="24"/>
                <w:szCs w:val="24"/>
              </w:rPr>
              <w:t xml:space="preserve"> sus dependencias concretas y las de infraestructura tienen credenciales incrustadas.</w:t>
            </w:r>
          </w:p>
        </w:tc>
      </w:tr>
    </w:tbl>
    <w:p w14:paraId="17D15A71" w14:textId="77777777" w:rsidR="005B071D" w:rsidRPr="003D5FA7" w:rsidRDefault="005B071D">
      <w:pPr>
        <w:spacing w:after="120"/>
        <w:rPr>
          <w:rFonts w:ascii="Times New Roman" w:hAnsi="Times New Roman" w:cs="Times New Roman"/>
          <w:sz w:val="24"/>
          <w:szCs w:val="24"/>
        </w:rPr>
      </w:pPr>
    </w:p>
    <w:p w14:paraId="55874DA2"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4.1. SRP — Single Responsibility Principle</w:t>
      </w:r>
    </w:p>
    <w:p w14:paraId="42BA339E"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lastRenderedPageBreak/>
        <w:t>Cómo se viola:</w:t>
      </w:r>
      <w:r w:rsidRPr="003D5FA7">
        <w:rPr>
          <w:rFonts w:ascii="Times New Roman" w:hAnsi="Times New Roman" w:cs="Times New Roman"/>
          <w:sz w:val="24"/>
          <w:szCs w:val="24"/>
        </w:rPr>
        <w:t xml:space="preserve"> una sola clase cambia por razones de actores distintos: el área clínica (disponibilidad), finanzas (tarifas, convenios, penalizaciones), tecnología (SQL Server, SMTP, Twilio) y gerencia (reportes).</w:t>
      </w:r>
    </w:p>
    <w:p w14:paraId="7C5B003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L.14–17: validación de dispo</w:t>
      </w:r>
      <w:r w:rsidRPr="003D5FA7">
        <w:rPr>
          <w:rFonts w:ascii="Times New Roman" w:hAnsi="Times New Roman" w:cs="Times New Roman"/>
          <w:sz w:val="24"/>
          <w:szCs w:val="24"/>
        </w:rPr>
        <w:t>nibilidad.</w:t>
      </w:r>
    </w:p>
    <w:p w14:paraId="4A248404"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L.19–57: cálculo completo del copago (especialidad, convenio, primera vez, radiografía).</w:t>
      </w:r>
    </w:p>
    <w:p w14:paraId="75E96A4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L.58–66: creación de la entidad y generación del identificador.</w:t>
      </w:r>
    </w:p>
    <w:p w14:paraId="169F74BF"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L.68–</w:t>
      </w:r>
      <w:r w:rsidRPr="003D5FA7">
        <w:rPr>
          <w:rFonts w:ascii="Times New Roman" w:hAnsi="Times New Roman" w:cs="Times New Roman"/>
          <w:sz w:val="24"/>
          <w:szCs w:val="24"/>
        </w:rPr>
        <w:t>69 y L.88–89: orquestación de persistencia y notificación.</w:t>
      </w:r>
    </w:p>
    <w:p w14:paraId="7E4E918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L.77–86: política de cancelación y multas.</w:t>
      </w:r>
    </w:p>
    <w:p w14:paraId="27321FEB"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L.9–10, 71, 91, 95, 97: estado acumulado para reportes.</w:t>
      </w:r>
    </w:p>
    <w:p w14:paraId="48FF4A9E"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NotificacionServicio.cs</w:t>
      </w:r>
      <w:r w:rsidRPr="003D5FA7">
        <w:rPr>
          <w:rFonts w:ascii="Times New Roman" w:hAnsi="Times New Roman" w:cs="Times New Roman"/>
          <w:sz w:val="24"/>
          <w:szCs w:val="24"/>
        </w:rPr>
        <w:t>, L.12–21: un úni</w:t>
      </w:r>
      <w:r w:rsidRPr="003D5FA7">
        <w:rPr>
          <w:rFonts w:ascii="Times New Roman" w:hAnsi="Times New Roman" w:cs="Times New Roman"/>
          <w:sz w:val="24"/>
          <w:szCs w:val="24"/>
        </w:rPr>
        <w:t>co método mezcla correo, SMS, configuración y credenciales.</w:t>
      </w:r>
    </w:p>
    <w:p w14:paraId="04DE7DD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Cita.cs</w:t>
      </w:r>
      <w:r w:rsidRPr="003D5FA7">
        <w:rPr>
          <w:rFonts w:ascii="Times New Roman" w:hAnsi="Times New Roman" w:cs="Times New Roman"/>
          <w:sz w:val="24"/>
          <w:szCs w:val="24"/>
        </w:rPr>
        <w:t>, L.16: la entidad genera texto de presentación (</w:t>
      </w:r>
      <w:r w:rsidRPr="003D5FA7">
        <w:rPr>
          <w:rFonts w:ascii="Times New Roman" w:eastAsia="Consolas" w:hAnsi="Times New Roman" w:cs="Times New Roman"/>
          <w:sz w:val="24"/>
          <w:szCs w:val="24"/>
        </w:rPr>
        <w:t>GenerarTextoConfirmacion</w:t>
      </w:r>
      <w:r w:rsidRPr="003D5FA7">
        <w:rPr>
          <w:rFonts w:ascii="Times New Roman" w:hAnsi="Times New Roman" w:cs="Times New Roman"/>
          <w:sz w:val="24"/>
          <w:szCs w:val="24"/>
        </w:rPr>
        <w:t>).</w:t>
      </w:r>
    </w:p>
    <w:p w14:paraId="668E9744"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4.2. OCP — Open/Closed Principle</w:t>
      </w:r>
    </w:p>
    <w:p w14:paraId="074DF6B4"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Cómo se viola:</w:t>
      </w:r>
      <w:r w:rsidRPr="003D5FA7">
        <w:rPr>
          <w:rFonts w:ascii="Times New Roman" w:hAnsi="Times New Roman" w:cs="Times New Roman"/>
          <w:sz w:val="24"/>
          <w:szCs w:val="24"/>
        </w:rPr>
        <w:t xml:space="preserve"> el comportamiento variable está codificado con condicionales sobre enteros, por lo que extender el sistema exige editar código estable ya probado.</w:t>
      </w:r>
    </w:p>
    <w:p w14:paraId="54FE198D"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xml:space="preserve">, L.22–37: cadena </w:t>
      </w:r>
      <w:r w:rsidRPr="003D5FA7">
        <w:rPr>
          <w:rFonts w:ascii="Times New Roman" w:eastAsia="Consolas" w:hAnsi="Times New Roman" w:cs="Times New Roman"/>
          <w:sz w:val="24"/>
          <w:szCs w:val="24"/>
        </w:rPr>
        <w:t>if / else if</w:t>
      </w:r>
      <w:r w:rsidRPr="003D5FA7">
        <w:rPr>
          <w:rFonts w:ascii="Times New Roman" w:hAnsi="Times New Roman" w:cs="Times New Roman"/>
          <w:sz w:val="24"/>
          <w:szCs w:val="24"/>
        </w:rPr>
        <w:t xml:space="preserve"> por </w:t>
      </w:r>
      <w:r w:rsidRPr="003D5FA7">
        <w:rPr>
          <w:rFonts w:ascii="Times New Roman" w:eastAsia="Consolas" w:hAnsi="Times New Roman" w:cs="Times New Roman"/>
          <w:sz w:val="24"/>
          <w:szCs w:val="24"/>
        </w:rPr>
        <w:t>tipoEspecialidad</w:t>
      </w:r>
      <w:r w:rsidRPr="003D5FA7">
        <w:rPr>
          <w:rFonts w:ascii="Times New Roman" w:hAnsi="Times New Roman" w:cs="Times New Roman"/>
          <w:sz w:val="24"/>
          <w:szCs w:val="24"/>
        </w:rPr>
        <w:t xml:space="preserve"> (1 a 4). Añadir una especiali</w:t>
      </w:r>
      <w:r w:rsidRPr="003D5FA7">
        <w:rPr>
          <w:rFonts w:ascii="Times New Roman" w:hAnsi="Times New Roman" w:cs="Times New Roman"/>
          <w:sz w:val="24"/>
          <w:szCs w:val="24"/>
        </w:rPr>
        <w:t xml:space="preserve">dad implica modificar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w:t>
      </w:r>
    </w:p>
    <w:p w14:paraId="33271EF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xml:space="preserve">, L.40–47: descuentos por </w:t>
      </w:r>
      <w:r w:rsidRPr="003D5FA7">
        <w:rPr>
          <w:rFonts w:ascii="Times New Roman" w:eastAsia="Consolas" w:hAnsi="Times New Roman" w:cs="Times New Roman"/>
          <w:sz w:val="24"/>
          <w:szCs w:val="24"/>
        </w:rPr>
        <w:t>TipoConvenio</w:t>
      </w:r>
      <w:r w:rsidRPr="003D5FA7">
        <w:rPr>
          <w:rFonts w:ascii="Times New Roman" w:hAnsi="Times New Roman" w:cs="Times New Roman"/>
          <w:sz w:val="24"/>
          <w:szCs w:val="24"/>
        </w:rPr>
        <w:t xml:space="preserve"> (2 = EPS, 3 = Prepagada). Un convenio nuevo implica modificar el mismo método.</w:t>
      </w:r>
    </w:p>
    <w:p w14:paraId="7EDC0DBF"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L.49–57: recargos fijos (primera vez, radiografía) incrustados en el flujo.</w:t>
      </w:r>
    </w:p>
    <w:p w14:paraId="5B0849AD"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L.79–83: la penalización de 50 y el recarg</w:t>
      </w:r>
      <w:r w:rsidRPr="003D5FA7">
        <w:rPr>
          <w:rFonts w:ascii="Times New Roman" w:hAnsi="Times New Roman" w:cs="Times New Roman"/>
          <w:sz w:val="24"/>
          <w:szCs w:val="24"/>
        </w:rPr>
        <w:t xml:space="preserve">o de 40 por Cirugía están fijados; una nueva regla exige editar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w:t>
      </w:r>
    </w:p>
    <w:p w14:paraId="67FF6443"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NotificacionServicio.cs</w:t>
      </w:r>
      <w:r w:rsidRPr="003D5FA7">
        <w:rPr>
          <w:rFonts w:ascii="Times New Roman" w:hAnsi="Times New Roman" w:cs="Times New Roman"/>
          <w:sz w:val="24"/>
          <w:szCs w:val="24"/>
        </w:rPr>
        <w:t xml:space="preserve">, L.14–21: un canal nuevo (p. ej. WhatsApp) obliga a modificar </w:t>
      </w:r>
      <w:r w:rsidRPr="003D5FA7">
        <w:rPr>
          <w:rFonts w:ascii="Times New Roman" w:eastAsia="Consolas" w:hAnsi="Times New Roman" w:cs="Times New Roman"/>
          <w:sz w:val="24"/>
          <w:szCs w:val="24"/>
        </w:rPr>
        <w:t>EnviarEmailYSms</w:t>
      </w:r>
      <w:r w:rsidRPr="003D5FA7">
        <w:rPr>
          <w:rFonts w:ascii="Times New Roman" w:hAnsi="Times New Roman" w:cs="Times New Roman"/>
          <w:sz w:val="24"/>
          <w:szCs w:val="24"/>
        </w:rPr>
        <w:t>.</w:t>
      </w:r>
    </w:p>
    <w:p w14:paraId="4BB64631"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4.3. LSP — Liskov Substitution Principle</w:t>
      </w:r>
    </w:p>
    <w:p w14:paraId="2AAF9633"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Cómo se viola (indirecta):</w:t>
      </w:r>
      <w:r w:rsidRPr="003D5FA7">
        <w:rPr>
          <w:rFonts w:ascii="Times New Roman" w:hAnsi="Times New Roman" w:cs="Times New Roman"/>
          <w:sz w:val="24"/>
          <w:szCs w:val="24"/>
        </w:rPr>
        <w:t xml:space="preserve"> el sist</w:t>
      </w:r>
      <w:r w:rsidRPr="003D5FA7">
        <w:rPr>
          <w:rFonts w:ascii="Times New Roman" w:hAnsi="Times New Roman" w:cs="Times New Roman"/>
          <w:sz w:val="24"/>
          <w:szCs w:val="24"/>
        </w:rPr>
        <w:t xml:space="preserve">ema no usa herencia ni interfaces, por lo que no hay una subclase que rompa el contrato de su padre. El problema es la </w:t>
      </w:r>
      <w:r w:rsidRPr="003D5FA7">
        <w:rPr>
          <w:rFonts w:ascii="Times New Roman" w:hAnsi="Times New Roman" w:cs="Times New Roman"/>
          <w:b/>
          <w:bCs/>
          <w:sz w:val="24"/>
          <w:szCs w:val="24"/>
        </w:rPr>
        <w:t>ausencia del contrato</w:t>
      </w:r>
      <w:r w:rsidRPr="003D5FA7">
        <w:rPr>
          <w:rFonts w:ascii="Times New Roman" w:hAnsi="Times New Roman" w:cs="Times New Roman"/>
          <w:sz w:val="24"/>
          <w:szCs w:val="24"/>
        </w:rPr>
        <w:t>: las variantes de negocio se representan con códigos primitivos, y quien consume el dato debe conocer cada valor co</w:t>
      </w:r>
      <w:r w:rsidRPr="003D5FA7">
        <w:rPr>
          <w:rFonts w:ascii="Times New Roman" w:hAnsi="Times New Roman" w:cs="Times New Roman"/>
          <w:sz w:val="24"/>
          <w:szCs w:val="24"/>
        </w:rPr>
        <w:t xml:space="preserve">ncreto, que es el mismo síntoma que la comprobación de tipos con </w:t>
      </w:r>
      <w:r w:rsidRPr="003D5FA7">
        <w:rPr>
          <w:rFonts w:ascii="Times New Roman" w:eastAsia="Consolas" w:hAnsi="Times New Roman" w:cs="Times New Roman"/>
          <w:sz w:val="24"/>
          <w:szCs w:val="24"/>
        </w:rPr>
        <w:t>instanceof</w:t>
      </w:r>
      <w:r w:rsidRPr="003D5FA7">
        <w:rPr>
          <w:rFonts w:ascii="Times New Roman" w:hAnsi="Times New Roman" w:cs="Times New Roman"/>
          <w:sz w:val="24"/>
          <w:szCs w:val="24"/>
        </w:rPr>
        <w:t xml:space="preserve"> descrita en clase.</w:t>
      </w:r>
    </w:p>
    <w:p w14:paraId="2D21F88C"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lastRenderedPageBreak/>
        <w:t>Paciente.cs</w:t>
      </w:r>
      <w:r w:rsidRPr="003D5FA7">
        <w:rPr>
          <w:rFonts w:ascii="Times New Roman" w:hAnsi="Times New Roman" w:cs="Times New Roman"/>
          <w:sz w:val="24"/>
          <w:szCs w:val="24"/>
        </w:rPr>
        <w:t xml:space="preserve">, L.13: </w:t>
      </w:r>
      <w:r w:rsidRPr="003D5FA7">
        <w:rPr>
          <w:rFonts w:ascii="Times New Roman" w:eastAsia="Consolas" w:hAnsi="Times New Roman" w:cs="Times New Roman"/>
          <w:sz w:val="24"/>
          <w:szCs w:val="24"/>
        </w:rPr>
        <w:t>TipoConvenio</w:t>
      </w:r>
      <w:r w:rsidRPr="003D5FA7">
        <w:rPr>
          <w:rFonts w:ascii="Times New Roman" w:hAnsi="Times New Roman" w:cs="Times New Roman"/>
          <w:sz w:val="24"/>
          <w:szCs w:val="24"/>
        </w:rPr>
        <w:t xml:space="preserve"> como </w:t>
      </w:r>
      <w:r w:rsidRPr="003D5FA7">
        <w:rPr>
          <w:rFonts w:ascii="Times New Roman" w:eastAsia="Consolas" w:hAnsi="Times New Roman" w:cs="Times New Roman"/>
          <w:sz w:val="24"/>
          <w:szCs w:val="24"/>
        </w:rPr>
        <w:t>int</w:t>
      </w:r>
      <w:r w:rsidRPr="003D5FA7">
        <w:rPr>
          <w:rFonts w:ascii="Times New Roman" w:hAnsi="Times New Roman" w:cs="Times New Roman"/>
          <w:sz w:val="24"/>
          <w:szCs w:val="24"/>
        </w:rPr>
        <w:t xml:space="preserve"> (1, 2, 3); </w:t>
      </w:r>
      <w:r w:rsidRPr="003D5FA7">
        <w:rPr>
          <w:rFonts w:ascii="Times New Roman" w:eastAsia="Consolas" w:hAnsi="Times New Roman" w:cs="Times New Roman"/>
          <w:sz w:val="24"/>
          <w:szCs w:val="24"/>
        </w:rPr>
        <w:t>Odontologo.cs</w:t>
      </w:r>
      <w:r w:rsidRPr="003D5FA7">
        <w:rPr>
          <w:rFonts w:ascii="Times New Roman" w:hAnsi="Times New Roman" w:cs="Times New Roman"/>
          <w:sz w:val="24"/>
          <w:szCs w:val="24"/>
        </w:rPr>
        <w:t xml:space="preserve">, L.11: </w:t>
      </w:r>
      <w:r w:rsidRPr="003D5FA7">
        <w:rPr>
          <w:rFonts w:ascii="Times New Roman" w:eastAsia="Consolas" w:hAnsi="Times New Roman" w:cs="Times New Roman"/>
          <w:sz w:val="24"/>
          <w:szCs w:val="24"/>
        </w:rPr>
        <w:t>EspecialidadId</w:t>
      </w:r>
      <w:r w:rsidRPr="003D5FA7">
        <w:rPr>
          <w:rFonts w:ascii="Times New Roman" w:hAnsi="Times New Roman" w:cs="Times New Roman"/>
          <w:sz w:val="24"/>
          <w:szCs w:val="24"/>
        </w:rPr>
        <w:t xml:space="preserve"> como </w:t>
      </w:r>
      <w:r w:rsidRPr="003D5FA7">
        <w:rPr>
          <w:rFonts w:ascii="Times New Roman" w:eastAsia="Consolas" w:hAnsi="Times New Roman" w:cs="Times New Roman"/>
          <w:sz w:val="24"/>
          <w:szCs w:val="24"/>
        </w:rPr>
        <w:t>int</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Cita.cs</w:t>
      </w:r>
      <w:r w:rsidRPr="003D5FA7">
        <w:rPr>
          <w:rFonts w:ascii="Times New Roman" w:hAnsi="Times New Roman" w:cs="Times New Roman"/>
          <w:sz w:val="24"/>
          <w:szCs w:val="24"/>
        </w:rPr>
        <w:t xml:space="preserve">, L.14: </w:t>
      </w:r>
      <w:r w:rsidRPr="003D5FA7">
        <w:rPr>
          <w:rFonts w:ascii="Times New Roman" w:eastAsia="Consolas" w:hAnsi="Times New Roman" w:cs="Times New Roman"/>
          <w:sz w:val="24"/>
          <w:szCs w:val="24"/>
        </w:rPr>
        <w:t>Estado</w:t>
      </w:r>
      <w:r w:rsidRPr="003D5FA7">
        <w:rPr>
          <w:rFonts w:ascii="Times New Roman" w:hAnsi="Times New Roman" w:cs="Times New Roman"/>
          <w:sz w:val="24"/>
          <w:szCs w:val="24"/>
        </w:rPr>
        <w:t xml:space="preserve"> como </w:t>
      </w:r>
      <w:r w:rsidRPr="003D5FA7">
        <w:rPr>
          <w:rFonts w:ascii="Times New Roman" w:eastAsia="Consolas" w:hAnsi="Times New Roman" w:cs="Times New Roman"/>
          <w:sz w:val="24"/>
          <w:szCs w:val="24"/>
        </w:rPr>
        <w:t>string</w:t>
      </w:r>
      <w:r w:rsidRPr="003D5FA7">
        <w:rPr>
          <w:rFonts w:ascii="Times New Roman" w:hAnsi="Times New Roman" w:cs="Times New Roman"/>
          <w:sz w:val="24"/>
          <w:szCs w:val="24"/>
        </w:rPr>
        <w:t>.</w:t>
      </w:r>
    </w:p>
    <w:p w14:paraId="0B48DA6B"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w:t>
      </w:r>
      <w:r w:rsidRPr="003D5FA7">
        <w:rPr>
          <w:rFonts w:ascii="Times New Roman" w:hAnsi="Times New Roman" w:cs="Times New Roman"/>
          <w:sz w:val="24"/>
          <w:szCs w:val="24"/>
        </w:rPr>
        <w:t xml:space="preserve"> L.22–37 y L.40–47: el cliente discrimina por valor, en lugar de tratar tipos intercambiables mediante una abstracción.</w:t>
      </w:r>
    </w:p>
    <w:p w14:paraId="04F00042"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xml:space="preserve">, L.16: se lanza </w:t>
      </w:r>
      <w:r w:rsidRPr="003D5FA7">
        <w:rPr>
          <w:rFonts w:ascii="Times New Roman" w:eastAsia="Consolas" w:hAnsi="Times New Roman" w:cs="Times New Roman"/>
          <w:sz w:val="24"/>
          <w:szCs w:val="24"/>
        </w:rPr>
        <w:t>Exception</w:t>
      </w:r>
      <w:r w:rsidRPr="003D5FA7">
        <w:rPr>
          <w:rFonts w:ascii="Times New Roman" w:hAnsi="Times New Roman" w:cs="Times New Roman"/>
          <w:sz w:val="24"/>
          <w:szCs w:val="24"/>
        </w:rPr>
        <w:t xml:space="preserve"> genérica; el contrato de fallo de la operación no está definido de forma sustituib</w:t>
      </w:r>
      <w:r w:rsidRPr="003D5FA7">
        <w:rPr>
          <w:rFonts w:ascii="Times New Roman" w:hAnsi="Times New Roman" w:cs="Times New Roman"/>
          <w:sz w:val="24"/>
          <w:szCs w:val="24"/>
        </w:rPr>
        <w:t>le.</w:t>
      </w:r>
    </w:p>
    <w:p w14:paraId="06469F1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SqlServerEjecutor</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NotificacionServicio</w:t>
      </w:r>
      <w:r w:rsidRPr="003D5FA7">
        <w:rPr>
          <w:rFonts w:ascii="Times New Roman" w:hAnsi="Times New Roman" w:cs="Times New Roman"/>
          <w:sz w:val="24"/>
          <w:szCs w:val="24"/>
        </w:rPr>
        <w:t xml:space="preserve"> no implementan abstracción alguna: no existe sustituto posible (memoria, otro proveedor) que respete un contrato.</w:t>
      </w:r>
    </w:p>
    <w:p w14:paraId="14AC4BCD"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4.4. ISP — Interface S</w:t>
      </w:r>
      <w:r w:rsidRPr="003D5FA7">
        <w:rPr>
          <w:rFonts w:ascii="Times New Roman" w:hAnsi="Times New Roman" w:cs="Times New Roman"/>
          <w:sz w:val="24"/>
          <w:szCs w:val="24"/>
        </w:rPr>
        <w:t>egregation Principle</w:t>
      </w:r>
    </w:p>
    <w:p w14:paraId="30E4C58D"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Cómo se viola (indirecta):</w:t>
      </w:r>
      <w:r w:rsidRPr="003D5FA7">
        <w:rPr>
          <w:rFonts w:ascii="Times New Roman" w:hAnsi="Times New Roman" w:cs="Times New Roman"/>
          <w:sz w:val="24"/>
          <w:szCs w:val="24"/>
        </w:rPr>
        <w:t xml:space="preserve"> al no haber interfaces, los clientes dependen de clases concretas que exponen más de lo que cada uno necesita.</w:t>
      </w:r>
    </w:p>
    <w:p w14:paraId="537B700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NotificacionServicio.cs</w:t>
      </w:r>
      <w:r w:rsidRPr="003D5FA7">
        <w:rPr>
          <w:rFonts w:ascii="Times New Roman" w:hAnsi="Times New Roman" w:cs="Times New Roman"/>
          <w:sz w:val="24"/>
          <w:szCs w:val="24"/>
        </w:rPr>
        <w:t xml:space="preserve">, L.12–21: el contrato </w:t>
      </w:r>
      <w:r w:rsidRPr="003D5FA7">
        <w:rPr>
          <w:rFonts w:ascii="Times New Roman" w:eastAsia="Consolas" w:hAnsi="Times New Roman" w:cs="Times New Roman"/>
          <w:sz w:val="24"/>
          <w:szCs w:val="24"/>
        </w:rPr>
        <w:t>EnviarEmailYSms</w:t>
      </w:r>
      <w:r w:rsidRPr="003D5FA7">
        <w:rPr>
          <w:rFonts w:ascii="Times New Roman" w:hAnsi="Times New Roman" w:cs="Times New Roman"/>
          <w:sz w:val="24"/>
          <w:szCs w:val="24"/>
        </w:rPr>
        <w:t xml:space="preserve"> obliga a quien solo quiere correo a enviar también SMS, y viceversa.</w:t>
      </w:r>
    </w:p>
    <w:p w14:paraId="418603D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NotificacionServicio.cs</w:t>
      </w:r>
      <w:r w:rsidRPr="003D5FA7">
        <w:rPr>
          <w:rFonts w:ascii="Times New Roman" w:hAnsi="Times New Roman" w:cs="Times New Roman"/>
          <w:sz w:val="24"/>
          <w:szCs w:val="24"/>
        </w:rPr>
        <w:t xml:space="preserve">, L.12: recibe la </w:t>
      </w:r>
      <w:r w:rsidRPr="003D5FA7">
        <w:rPr>
          <w:rFonts w:ascii="Times New Roman" w:eastAsia="Consolas" w:hAnsi="Times New Roman" w:cs="Times New Roman"/>
          <w:sz w:val="24"/>
          <w:szCs w:val="24"/>
        </w:rPr>
        <w:t>Cita</w:t>
      </w:r>
      <w:r w:rsidRPr="003D5FA7">
        <w:rPr>
          <w:rFonts w:ascii="Times New Roman" w:hAnsi="Times New Roman" w:cs="Times New Roman"/>
          <w:sz w:val="24"/>
          <w:szCs w:val="24"/>
        </w:rPr>
        <w:t xml:space="preserve"> completa (con </w:t>
      </w:r>
      <w:r w:rsidRPr="003D5FA7">
        <w:rPr>
          <w:rFonts w:ascii="Times New Roman" w:eastAsia="Consolas" w:hAnsi="Times New Roman" w:cs="Times New Roman"/>
          <w:sz w:val="24"/>
          <w:szCs w:val="24"/>
        </w:rPr>
        <w:t>Paciente</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Odontologo</w:t>
      </w:r>
      <w:r w:rsidRPr="003D5FA7">
        <w:rPr>
          <w:rFonts w:ascii="Times New Roman" w:hAnsi="Times New Roman" w:cs="Times New Roman"/>
          <w:sz w:val="24"/>
          <w:szCs w:val="24"/>
        </w:rPr>
        <w:t>) aunque solo usa correo, fecha y copago.</w:t>
      </w:r>
    </w:p>
    <w:p w14:paraId="4D4EA254"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SqlServerEjecutor.cs</w:t>
      </w:r>
      <w:r w:rsidRPr="003D5FA7">
        <w:rPr>
          <w:rFonts w:ascii="Times New Roman" w:hAnsi="Times New Roman" w:cs="Times New Roman"/>
          <w:sz w:val="24"/>
          <w:szCs w:val="24"/>
        </w:rPr>
        <w:t>, L.11–25: una sola clase mezcla operacione</w:t>
      </w:r>
      <w:r w:rsidRPr="003D5FA7">
        <w:rPr>
          <w:rFonts w:ascii="Times New Roman" w:hAnsi="Times New Roman" w:cs="Times New Roman"/>
          <w:sz w:val="24"/>
          <w:szCs w:val="24"/>
        </w:rPr>
        <w:t>s de agendamiento y de cancelación; un cambio en una obliga a recompilar a quien usa la otra.</w:t>
      </w:r>
    </w:p>
    <w:p w14:paraId="5CB64C14"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xml:space="preserve">, L.12, 75, 95, 97: </w:t>
      </w:r>
      <w:r w:rsidRPr="003D5FA7">
        <w:rPr>
          <w:rFonts w:ascii="Times New Roman" w:eastAsia="Consolas" w:hAnsi="Times New Roman" w:cs="Times New Roman"/>
          <w:sz w:val="24"/>
          <w:szCs w:val="24"/>
        </w:rPr>
        <w:t>Program.cs</w:t>
      </w:r>
      <w:r w:rsidRPr="003D5FA7">
        <w:rPr>
          <w:rFonts w:ascii="Times New Roman" w:hAnsi="Times New Roman" w:cs="Times New Roman"/>
          <w:sz w:val="24"/>
          <w:szCs w:val="24"/>
        </w:rPr>
        <w:t xml:space="preserve"> depende de una clase que combina comandos (agendar, cancelar) y consultas de reporte.</w:t>
      </w:r>
    </w:p>
    <w:p w14:paraId="589173C1"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4.5. DIP — Depende</w:t>
      </w:r>
      <w:r w:rsidRPr="003D5FA7">
        <w:rPr>
          <w:rFonts w:ascii="Times New Roman" w:hAnsi="Times New Roman" w:cs="Times New Roman"/>
          <w:sz w:val="24"/>
          <w:szCs w:val="24"/>
        </w:rPr>
        <w:t>ncy Inversion Principle</w:t>
      </w:r>
    </w:p>
    <w:p w14:paraId="5F12A0CF"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Cómo se viola:</w:t>
      </w:r>
      <w:r w:rsidRPr="003D5FA7">
        <w:rPr>
          <w:rFonts w:ascii="Times New Roman" w:hAnsi="Times New Roman" w:cs="Times New Roman"/>
          <w:sz w:val="24"/>
          <w:szCs w:val="24"/>
        </w:rPr>
        <w:t xml:space="preserve"> el módulo de alto nivel (reglas de negocio) depende de detalles de bajo nivel (SQL Server, SMTP, Twilio) que además crea él mismo.</w:t>
      </w:r>
    </w:p>
    <w:p w14:paraId="68AFFC0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xml:space="preserve">, L.7–8: </w:t>
      </w:r>
      <w:r w:rsidRPr="003D5FA7">
        <w:rPr>
          <w:rFonts w:ascii="Times New Roman" w:eastAsia="Consolas" w:hAnsi="Times New Roman" w:cs="Times New Roman"/>
          <w:sz w:val="24"/>
          <w:szCs w:val="24"/>
        </w:rPr>
        <w:t>new SqlServerEjecutor()</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new NotificacionServicio</w:t>
      </w:r>
      <w:r w:rsidRPr="003D5FA7">
        <w:rPr>
          <w:rFonts w:ascii="Times New Roman" w:eastAsia="Consolas" w:hAnsi="Times New Roman" w:cs="Times New Roman"/>
          <w:sz w:val="24"/>
          <w:szCs w:val="24"/>
        </w:rPr>
        <w:t>()</w:t>
      </w:r>
      <w:r w:rsidRPr="003D5FA7">
        <w:rPr>
          <w:rFonts w:ascii="Times New Roman" w:hAnsi="Times New Roman" w:cs="Times New Roman"/>
          <w:sz w:val="24"/>
          <w:szCs w:val="24"/>
        </w:rPr>
        <w:t xml:space="preserve"> como campos concretos.</w:t>
      </w:r>
    </w:p>
    <w:p w14:paraId="4264F97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L.68–69 y L.88–89: uso directo de las clases concretas.</w:t>
      </w:r>
    </w:p>
    <w:p w14:paraId="36C3A21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SqlServerEjecutor.cs</w:t>
      </w:r>
      <w:r w:rsidRPr="003D5FA7">
        <w:rPr>
          <w:rFonts w:ascii="Times New Roman" w:hAnsi="Times New Roman" w:cs="Times New Roman"/>
          <w:sz w:val="24"/>
          <w:szCs w:val="24"/>
        </w:rPr>
        <w:t xml:space="preserve">, L.10: cadena de conexión con usuario </w:t>
      </w:r>
      <w:r w:rsidRPr="003D5FA7">
        <w:rPr>
          <w:rFonts w:ascii="Times New Roman" w:eastAsia="Consolas" w:hAnsi="Times New Roman" w:cs="Times New Roman"/>
          <w:sz w:val="24"/>
          <w:szCs w:val="24"/>
        </w:rPr>
        <w:t>sa</w:t>
      </w:r>
      <w:r w:rsidRPr="003D5FA7">
        <w:rPr>
          <w:rFonts w:ascii="Times New Roman" w:hAnsi="Times New Roman" w:cs="Times New Roman"/>
          <w:sz w:val="24"/>
          <w:szCs w:val="24"/>
        </w:rPr>
        <w:t xml:space="preserve"> y contraseña incrustados; L.16 y siguientes: </w:t>
      </w:r>
      <w:r w:rsidRPr="003D5FA7">
        <w:rPr>
          <w:rFonts w:ascii="Times New Roman" w:eastAsia="Consolas" w:hAnsi="Times New Roman" w:cs="Times New Roman"/>
          <w:sz w:val="24"/>
          <w:szCs w:val="24"/>
        </w:rPr>
        <w:t>SqlCommand</w:t>
      </w:r>
      <w:r w:rsidRPr="003D5FA7">
        <w:rPr>
          <w:rFonts w:ascii="Times New Roman" w:hAnsi="Times New Roman" w:cs="Times New Roman"/>
          <w:sz w:val="24"/>
          <w:szCs w:val="24"/>
        </w:rPr>
        <w:t xml:space="preserve"> embebido.</w:t>
      </w:r>
    </w:p>
    <w:p w14:paraId="0A2E7EB0"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NotificacionServicio.cs</w:t>
      </w:r>
      <w:r w:rsidRPr="003D5FA7">
        <w:rPr>
          <w:rFonts w:ascii="Times New Roman" w:hAnsi="Times New Roman" w:cs="Times New Roman"/>
          <w:sz w:val="24"/>
          <w:szCs w:val="24"/>
        </w:rPr>
        <w:t xml:space="preserve">, L.10–11: servidor SMTP y clave de Twilio incrustados; L.14–15: </w:t>
      </w:r>
      <w:r w:rsidRPr="003D5FA7">
        <w:rPr>
          <w:rFonts w:ascii="Times New Roman" w:eastAsia="Consolas" w:hAnsi="Times New Roman" w:cs="Times New Roman"/>
          <w:sz w:val="24"/>
          <w:szCs w:val="24"/>
        </w:rPr>
        <w:t>new SmtpClient</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new MailMessage</w:t>
      </w:r>
      <w:r w:rsidRPr="003D5FA7">
        <w:rPr>
          <w:rFonts w:ascii="Times New Roman" w:hAnsi="Times New Roman" w:cs="Times New Roman"/>
          <w:sz w:val="24"/>
          <w:szCs w:val="24"/>
        </w:rPr>
        <w:t>.</w:t>
      </w:r>
    </w:p>
    <w:p w14:paraId="34BEE51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 xml:space="preserve">Consecuencia: es imposible probar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sin base de datos ni </w:t>
      </w:r>
      <w:r w:rsidRPr="003D5FA7">
        <w:rPr>
          <w:rFonts w:ascii="Times New Roman" w:hAnsi="Times New Roman" w:cs="Times New Roman"/>
          <w:sz w:val="24"/>
          <w:szCs w:val="24"/>
        </w:rPr>
        <w:t>servidor de correo, y cambiar de proveedor obliga a modificar la lógica de negocio.</w:t>
      </w:r>
    </w:p>
    <w:p w14:paraId="1A67F502"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5. Hallazgos adicionales</w:t>
      </w:r>
    </w:p>
    <w:p w14:paraId="212F0A0C"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Durante el análisis se detectaron puntos que no son violaciones SOLID en sentido estricto, pero afectan la calidad y deben considerarse en la refac</w:t>
      </w:r>
      <w:r w:rsidRPr="003D5FA7">
        <w:rPr>
          <w:rFonts w:ascii="Times New Roman" w:hAnsi="Times New Roman" w:cs="Times New Roman"/>
          <w:sz w:val="24"/>
          <w:szCs w:val="24"/>
        </w:rPr>
        <w:t>torización o en los ADRs.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360"/>
      </w:tblGrid>
      <w:tr w:rsidR="005B071D" w:rsidRPr="003D5FA7" w14:paraId="4FD37BB1"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4A12A4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lastRenderedPageBreak/>
              <w:t>#</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E0B1CD"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Hallazgo</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811D98B"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Detalle</w:t>
            </w:r>
          </w:p>
        </w:tc>
      </w:tr>
      <w:tr w:rsidR="005B071D" w:rsidRPr="003D5FA7" w14:paraId="6787322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3D191A"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5F8F88C"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Secretos incrustados</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B6407AD"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Contraseña de SQL Server (</w:t>
            </w:r>
            <w:r w:rsidRPr="003D5FA7">
              <w:rPr>
                <w:rFonts w:ascii="Times New Roman" w:eastAsia="Consolas" w:hAnsi="Times New Roman" w:cs="Times New Roman"/>
                <w:sz w:val="24"/>
                <w:szCs w:val="24"/>
              </w:rPr>
              <w:t>SqlServerEjecutor.cs</w:t>
            </w:r>
            <w:r w:rsidRPr="003D5FA7">
              <w:rPr>
                <w:rFonts w:ascii="Times New Roman" w:hAnsi="Times New Roman" w:cs="Times New Roman"/>
                <w:sz w:val="24"/>
                <w:szCs w:val="24"/>
              </w:rPr>
              <w:t>, L.10) y clave de Twilio (</w:t>
            </w:r>
            <w:r w:rsidRPr="003D5FA7">
              <w:rPr>
                <w:rFonts w:ascii="Times New Roman" w:eastAsia="Consolas" w:hAnsi="Times New Roman" w:cs="Times New Roman"/>
                <w:sz w:val="24"/>
                <w:szCs w:val="24"/>
              </w:rPr>
              <w:t>NotificacionServicio.cs</w:t>
            </w:r>
            <w:r w:rsidRPr="003D5FA7">
              <w:rPr>
                <w:rFonts w:ascii="Times New Roman" w:hAnsi="Times New Roman" w:cs="Times New Roman"/>
                <w:sz w:val="24"/>
                <w:szCs w:val="24"/>
              </w:rPr>
              <w:t>, L.11). Es un requisito de seguridad que impacta la arquitectura de configuración.</w:t>
            </w:r>
          </w:p>
        </w:tc>
      </w:tr>
      <w:tr w:rsidR="005B071D" w:rsidRPr="003D5FA7" w14:paraId="3F29A10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89B750E"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EE67C18"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Parámetro </w:t>
            </w:r>
            <w:r w:rsidRPr="003D5FA7">
              <w:rPr>
                <w:rFonts w:ascii="Times New Roman" w:eastAsia="Consolas" w:hAnsi="Times New Roman" w:cs="Times New Roman"/>
                <w:sz w:val="24"/>
                <w:szCs w:val="24"/>
              </w:rPr>
              <w:t>mensaje</w:t>
            </w:r>
            <w:r w:rsidRPr="003D5FA7">
              <w:rPr>
                <w:rFonts w:ascii="Times New Roman" w:hAnsi="Times New Roman" w:cs="Times New Roman"/>
                <w:sz w:val="24"/>
                <w:szCs w:val="24"/>
              </w:rPr>
              <w:t xml:space="preserve"> ignorado</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B336EAC"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EnviarEmailYSms(cita, mensaje)</w:t>
            </w:r>
            <w:r w:rsidRPr="003D5FA7">
              <w:rPr>
                <w:rFonts w:ascii="Times New Roman" w:hAnsi="Times New Roman" w:cs="Times New Roman"/>
                <w:sz w:val="24"/>
                <w:szCs w:val="24"/>
              </w:rPr>
              <w:t xml:space="preserve"> no usa </w:t>
            </w:r>
            <w:r w:rsidRPr="003D5FA7">
              <w:rPr>
                <w:rFonts w:ascii="Times New Roman" w:eastAsia="Consolas" w:hAnsi="Times New Roman" w:cs="Times New Roman"/>
                <w:sz w:val="24"/>
                <w:szCs w:val="24"/>
              </w:rPr>
              <w:t>mensaje</w:t>
            </w:r>
            <w:r w:rsidRPr="003D5FA7">
              <w:rPr>
                <w:rFonts w:ascii="Times New Roman" w:hAnsi="Times New Roman" w:cs="Times New Roman"/>
                <w:sz w:val="24"/>
                <w:szCs w:val="24"/>
              </w:rPr>
              <w:t xml:space="preserve"> (L.12); el cuerpo está fijo en L.17. La notificación de cancelación (</w:t>
            </w: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L.89) envía un correo que dice «cita programada».</w:t>
            </w:r>
          </w:p>
        </w:tc>
      </w:tr>
      <w:tr w:rsidR="005B071D" w:rsidRPr="003D5FA7" w14:paraId="5C7BBB3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B13CD55"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3</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1B9016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Posible error de compilación en </w:t>
            </w:r>
            <w:r w:rsidRPr="003D5FA7">
              <w:rPr>
                <w:rFonts w:ascii="Times New Roman" w:eastAsia="Consolas" w:hAnsi="Times New Roman" w:cs="Times New Roman"/>
                <w:sz w:val="24"/>
                <w:szCs w:val="24"/>
              </w:rPr>
              <w:t>Cita.cs</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177D038"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L.12 aparece como </w:t>
            </w:r>
            <w:r w:rsidRPr="003D5FA7">
              <w:rPr>
                <w:rFonts w:ascii="Times New Roman" w:eastAsia="Consolas" w:hAnsi="Times New Roman" w:cs="Times New Roman"/>
                <w:sz w:val="24"/>
                <w:szCs w:val="24"/>
              </w:rPr>
              <w:t>{ get&gt; set; }</w:t>
            </w:r>
            <w:r w:rsidRPr="003D5FA7">
              <w:rPr>
                <w:rFonts w:ascii="Times New Roman" w:hAnsi="Times New Roman" w:cs="Times New Roman"/>
                <w:sz w:val="24"/>
                <w:szCs w:val="24"/>
              </w:rPr>
              <w:t>. Probablemente sea un error de transcripción; verificar en el proyecto original.</w:t>
            </w:r>
          </w:p>
        </w:tc>
      </w:tr>
      <w:tr w:rsidR="005B071D" w:rsidRPr="003D5FA7" w14:paraId="1E4BE1F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1CA8A7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22EF4BD"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using System.Data.SqlClient</w:t>
            </w:r>
            <w:r w:rsidRPr="003D5FA7">
              <w:rPr>
                <w:rFonts w:ascii="Times New Roman" w:hAnsi="Times New Roman" w:cs="Times New Roman"/>
                <w:sz w:val="24"/>
                <w:szCs w:val="24"/>
              </w:rPr>
              <w:t xml:space="preserve"> innecesario</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E6FB3A6"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GestorCitasOdontologicas.cs</w:t>
            </w:r>
            <w:r w:rsidRPr="003D5FA7">
              <w:rPr>
                <w:rFonts w:ascii="Times New Roman" w:hAnsi="Times New Roman" w:cs="Times New Roman"/>
                <w:sz w:val="24"/>
                <w:szCs w:val="24"/>
              </w:rPr>
              <w:t>, L.1: la clase no usa SQL directamente, pero declara la dependencia.</w:t>
            </w:r>
          </w:p>
        </w:tc>
      </w:tr>
      <w:tr w:rsidR="005B071D" w:rsidRPr="003D5FA7" w14:paraId="607FACB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028818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5</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CFE8FE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Estado en memoria</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E38C07"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_totalRecaudadoMes</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_totalCitasCanceladas</w:t>
            </w:r>
            <w:r w:rsidRPr="003D5FA7">
              <w:rPr>
                <w:rFonts w:ascii="Times New Roman" w:hAnsi="Times New Roman" w:cs="Times New Roman"/>
                <w:sz w:val="24"/>
                <w:szCs w:val="24"/>
              </w:rPr>
              <w:t xml:space="preserve"> (L.9–10) se pierden al reiniciar, no son seguros para concurrencia y el total recaudado no se reduce al cancelar.</w:t>
            </w:r>
          </w:p>
        </w:tc>
      </w:tr>
      <w:tr w:rsidR="005B071D" w:rsidRPr="003D5FA7" w14:paraId="01844D1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D1240A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046FB6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Obsesión por primitivos</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E280CEB"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 xml:space="preserve">Especialidad, convenio y estado como </w:t>
            </w:r>
            <w:r w:rsidRPr="003D5FA7">
              <w:rPr>
                <w:rFonts w:ascii="Times New Roman" w:eastAsia="Consolas" w:hAnsi="Times New Roman" w:cs="Times New Roman"/>
                <w:sz w:val="24"/>
                <w:szCs w:val="24"/>
              </w:rPr>
              <w:t>int</w:t>
            </w:r>
            <w:r w:rsidRPr="003D5FA7">
              <w:rPr>
                <w:rFonts w:ascii="Times New Roman" w:hAnsi="Times New Roman" w:cs="Times New Roman"/>
                <w:sz w:val="24"/>
                <w:szCs w:val="24"/>
              </w:rPr>
              <w:t>/</w:t>
            </w:r>
            <w:r w:rsidRPr="003D5FA7">
              <w:rPr>
                <w:rFonts w:ascii="Times New Roman" w:eastAsia="Consolas" w:hAnsi="Times New Roman" w:cs="Times New Roman"/>
                <w:sz w:val="24"/>
                <w:szCs w:val="24"/>
              </w:rPr>
              <w:t>string</w:t>
            </w:r>
            <w:r w:rsidRPr="003D5FA7">
              <w:rPr>
                <w:rFonts w:ascii="Times New Roman" w:hAnsi="Times New Roman" w:cs="Times New Roman"/>
                <w:sz w:val="24"/>
                <w:szCs w:val="24"/>
              </w:rPr>
              <w:t xml:space="preserve">; identificador de cita con </w:t>
            </w:r>
            <w:r w:rsidRPr="003D5FA7">
              <w:rPr>
                <w:rFonts w:ascii="Times New Roman" w:eastAsia="Consolas" w:hAnsi="Times New Roman" w:cs="Times New Roman"/>
                <w:sz w:val="24"/>
                <w:szCs w:val="24"/>
              </w:rPr>
              <w:t>Guid.NewGuid().ToString().Substring(0, 8)</w:t>
            </w:r>
            <w:r w:rsidRPr="003D5FA7">
              <w:rPr>
                <w:rFonts w:ascii="Times New Roman" w:hAnsi="Times New Roman" w:cs="Times New Roman"/>
                <w:sz w:val="24"/>
                <w:szCs w:val="24"/>
              </w:rPr>
              <w:t xml:space="preserve"> (L.60), con riesgo de colisión.</w:t>
            </w:r>
          </w:p>
        </w:tc>
      </w:tr>
    </w:tbl>
    <w:p w14:paraId="4B8D59C5"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6. Fase 1 — Línea base cuantitativa</w:t>
      </w:r>
    </w:p>
    <w:p w14:paraId="08B9B72F"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Componente medido: la clase </w:t>
      </w:r>
      <w:r w:rsidRPr="003D5FA7">
        <w:rPr>
          <w:rFonts w:ascii="Times New Roman" w:eastAsia="Consolas" w:hAnsi="Times New Roman" w:cs="Times New Roman"/>
          <w:sz w:val="24"/>
          <w:szCs w:val="24"/>
        </w:rPr>
        <w:t>GestorCitasOdontologicas</w:t>
      </w:r>
      <w:r w:rsidRPr="003D5FA7">
        <w:rPr>
          <w:rFonts w:ascii="Times New Roman" w:hAnsi="Times New Roman" w:cs="Times New Roman"/>
          <w:sz w:val="24"/>
          <w:szCs w:val="24"/>
        </w:rPr>
        <w:t xml:space="preserve"> (según lo pide la práctica). Se añade una tabla complementaria con los demás tipos de la solución para contextualizar los resultados.</w:t>
      </w:r>
    </w:p>
    <w:p w14:paraId="57B53222"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6.1. Criterios de medición</w:t>
      </w:r>
    </w:p>
    <w:p w14:paraId="5D5114B2"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Métodos (m):</w:t>
      </w:r>
      <w:r w:rsidRPr="003D5FA7">
        <w:rPr>
          <w:rFonts w:ascii="Times New Roman" w:hAnsi="Times New Roman" w:cs="Times New Roman"/>
          <w:sz w:val="24"/>
          <w:szCs w:val="24"/>
        </w:rPr>
        <w:t xml:space="preserve"> métodos de instancia declarados en la clase (incluye los de cuerpo de expresión; </w:t>
      </w:r>
      <w:r w:rsidRPr="003D5FA7">
        <w:rPr>
          <w:rFonts w:ascii="Times New Roman" w:hAnsi="Times New Roman" w:cs="Times New Roman"/>
          <w:sz w:val="24"/>
          <w:szCs w:val="24"/>
        </w:rPr>
        <w:t xml:space="preserve">se excluye el constructor implícito). m = 4: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ObtenerTotalRecaudado</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ObtenerTotalCanceladas</w:t>
      </w:r>
      <w:r w:rsidRPr="003D5FA7">
        <w:rPr>
          <w:rFonts w:ascii="Times New Roman" w:hAnsi="Times New Roman" w:cs="Times New Roman"/>
          <w:sz w:val="24"/>
          <w:szCs w:val="24"/>
        </w:rPr>
        <w:t>.</w:t>
      </w:r>
    </w:p>
    <w:p w14:paraId="0A93E26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Atributos (a):</w:t>
      </w:r>
      <w:r w:rsidRPr="003D5FA7">
        <w:rPr>
          <w:rFonts w:ascii="Times New Roman" w:hAnsi="Times New Roman" w:cs="Times New Roman"/>
          <w:sz w:val="24"/>
          <w:szCs w:val="24"/>
        </w:rPr>
        <w:t xml:space="preserve"> campos de instancia. a = 4: </w:t>
      </w:r>
      <w:r w:rsidRPr="003D5FA7">
        <w:rPr>
          <w:rFonts w:ascii="Times New Roman" w:eastAsia="Consolas" w:hAnsi="Times New Roman" w:cs="Times New Roman"/>
          <w:sz w:val="24"/>
          <w:szCs w:val="24"/>
        </w:rPr>
        <w:t>_db</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_notificador</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_totalRecaudadoMes</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_totalCitasCanceladas</w:t>
      </w:r>
      <w:r w:rsidRPr="003D5FA7">
        <w:rPr>
          <w:rFonts w:ascii="Times New Roman" w:hAnsi="Times New Roman" w:cs="Times New Roman"/>
          <w:sz w:val="24"/>
          <w:szCs w:val="24"/>
        </w:rPr>
        <w:t>.</w:t>
      </w:r>
    </w:p>
    <w:p w14:paraId="66617F47"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Ca y Ce:</w:t>
      </w:r>
      <w:r w:rsidRPr="003D5FA7">
        <w:rPr>
          <w:rFonts w:ascii="Times New Roman" w:hAnsi="Times New Roman" w:cs="Times New Roman"/>
          <w:sz w:val="24"/>
          <w:szCs w:val="24"/>
        </w:rPr>
        <w:t xml:space="preserve"> se cuentan tipos definidos </w:t>
      </w:r>
      <w:r w:rsidRPr="003D5FA7">
        <w:rPr>
          <w:rFonts w:ascii="Times New Roman" w:hAnsi="Times New Roman" w:cs="Times New Roman"/>
          <w:b/>
          <w:bCs/>
          <w:sz w:val="24"/>
          <w:szCs w:val="24"/>
        </w:rPr>
        <w:t>dentro de la solución</w:t>
      </w:r>
      <w:r w:rsidRPr="003D5FA7">
        <w:rPr>
          <w:rFonts w:ascii="Times New Roman" w:hAnsi="Times New Roman" w:cs="Times New Roman"/>
          <w:sz w:val="24"/>
          <w:szCs w:val="24"/>
        </w:rPr>
        <w:t>. Los tipos del framework (</w:t>
      </w:r>
      <w:r w:rsidRPr="003D5FA7">
        <w:rPr>
          <w:rFonts w:ascii="Times New Roman" w:eastAsia="Consolas" w:hAnsi="Times New Roman" w:cs="Times New Roman"/>
          <w:sz w:val="24"/>
          <w:szCs w:val="24"/>
        </w:rPr>
        <w:t>Exception</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DateTime</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TimeSpan</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Guid</w:t>
      </w:r>
      <w:r w:rsidRPr="003D5FA7">
        <w:rPr>
          <w:rFonts w:ascii="Times New Roman" w:hAnsi="Times New Roman" w:cs="Times New Roman"/>
          <w:sz w:val="24"/>
          <w:szCs w:val="24"/>
        </w:rPr>
        <w:t>) se excluyen y se reportan como análisis de sensibilidad.</w:t>
      </w:r>
    </w:p>
    <w:p w14:paraId="455CBC48"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A:</w:t>
      </w:r>
      <w:r w:rsidRPr="003D5FA7">
        <w:rPr>
          <w:rFonts w:ascii="Times New Roman" w:hAnsi="Times New Roman" w:cs="Times New Roman"/>
          <w:sz w:val="24"/>
          <w:szCs w:val="24"/>
        </w:rPr>
        <w:t xml:space="preserve"> proporción de miembros abstractos (interfaces, clases abstractas) sobre miembros co</w:t>
      </w:r>
      <w:r w:rsidRPr="003D5FA7">
        <w:rPr>
          <w:rFonts w:ascii="Times New Roman" w:hAnsi="Times New Roman" w:cs="Times New Roman"/>
          <w:sz w:val="24"/>
          <w:szCs w:val="24"/>
        </w:rPr>
        <w:t>ncretos, según la fórmula de la práctica.</w:t>
      </w:r>
    </w:p>
    <w:p w14:paraId="11AFE8CE"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lastRenderedPageBreak/>
        <w:t>6.2. LCOM96b</w:t>
      </w:r>
    </w:p>
    <w:p w14:paraId="2482E7BA"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LCOM96b = (1 / a) × Σ [ (m − μ(Aj)) / m ]</w:t>
      </w:r>
    </w:p>
    <w:p w14:paraId="4D008996"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Donde a es el número de atributos, m el número de métodos y μ(Aj) el número de métodos que acceden al atributo Aj.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3391"/>
        <w:gridCol w:w="1195"/>
        <w:gridCol w:w="2441"/>
      </w:tblGrid>
      <w:tr w:rsidR="005B071D" w:rsidRPr="003D5FA7" w14:paraId="490DB5B5"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8AB101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Atributo (Aj)</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596137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Métodos que lo acceden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975511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μ(Aj)</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4B3995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(m − μ) / m</w:t>
            </w:r>
          </w:p>
        </w:tc>
      </w:tr>
      <w:tr w:rsidR="005B071D" w:rsidRPr="003D5FA7" w14:paraId="6982CC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00AF35"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_db</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4E3E8C"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(L.68),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 xml:space="preserve"> (L.88)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C266D6"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F001D3"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(4 − 2) / 4 = 0,50</w:t>
            </w:r>
          </w:p>
        </w:tc>
      </w:tr>
      <w:tr w:rsidR="005B071D" w:rsidRPr="003D5FA7" w14:paraId="125F08C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9EF03D5"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_notificador</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172F9D1"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(L.69),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 xml:space="preserve"> (L.89)</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2E68EEE"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w:t>
            </w:r>
          </w:p>
        </w:tc>
        <w:tc>
          <w:tcPr>
            <w:tcW w:w="2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2062FA8"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(4 − 2) / 4 = 0,50</w:t>
            </w:r>
          </w:p>
        </w:tc>
      </w:tr>
      <w:tr w:rsidR="005B071D" w:rsidRPr="003D5FA7" w14:paraId="6FE515C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E0EF2B"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_totalRecaudadoMes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A4430E4"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(L.71), </w:t>
            </w:r>
            <w:r w:rsidRPr="003D5FA7">
              <w:rPr>
                <w:rFonts w:ascii="Times New Roman" w:eastAsia="Consolas" w:hAnsi="Times New Roman" w:cs="Times New Roman"/>
                <w:sz w:val="24"/>
                <w:szCs w:val="24"/>
              </w:rPr>
              <w:t>ObtenerTotalRecaudado</w:t>
            </w:r>
            <w:r w:rsidRPr="003D5FA7">
              <w:rPr>
                <w:rFonts w:ascii="Times New Roman" w:hAnsi="Times New Roman" w:cs="Times New Roman"/>
                <w:sz w:val="24"/>
                <w:szCs w:val="24"/>
              </w:rPr>
              <w:t xml:space="preserve"> (L.95)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1486B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F8156A1"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(4 − 2) / 4 = 0,50</w:t>
            </w:r>
          </w:p>
        </w:tc>
      </w:tr>
      <w:tr w:rsidR="005B071D" w:rsidRPr="003D5FA7" w14:paraId="0A2CAA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2819BCF"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_totalCitasCanceladas</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1431B4F"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 xml:space="preserve"> (L.91), </w:t>
            </w:r>
            <w:r w:rsidRPr="003D5FA7">
              <w:rPr>
                <w:rFonts w:ascii="Times New Roman" w:eastAsia="Consolas" w:hAnsi="Times New Roman" w:cs="Times New Roman"/>
                <w:sz w:val="24"/>
                <w:szCs w:val="24"/>
              </w:rPr>
              <w:t>ObtenerTotalCanceladas</w:t>
            </w:r>
            <w:r w:rsidRPr="003D5FA7">
              <w:rPr>
                <w:rFonts w:ascii="Times New Roman" w:hAnsi="Times New Roman" w:cs="Times New Roman"/>
                <w:sz w:val="24"/>
                <w:szCs w:val="24"/>
              </w:rPr>
              <w:t xml:space="preserve"> (L.97)</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67B67A4"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w:t>
            </w:r>
          </w:p>
        </w:tc>
        <w:tc>
          <w:tcPr>
            <w:tcW w:w="2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743AC10"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(4 − 2) / 4 = 0,50</w:t>
            </w:r>
          </w:p>
        </w:tc>
      </w:tr>
      <w:tr w:rsidR="005B071D" w:rsidRPr="003D5FA7" w14:paraId="384E904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E99A6C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sz w:val="24"/>
                <w:szCs w:val="24"/>
              </w:rPr>
              <w:t>Σ</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7A09337" w14:textId="77777777" w:rsidR="005B071D" w:rsidRPr="003D5FA7" w:rsidRDefault="005B071D">
            <w:pPr>
              <w:spacing w:after="40"/>
              <w:rPr>
                <w:rFonts w:ascii="Times New Roman" w:hAnsi="Times New Roman" w:cs="Times New Roman"/>
                <w:sz w:val="24"/>
                <w:szCs w:val="24"/>
              </w:rPr>
            </w:pP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63C53F7" w14:textId="77777777" w:rsidR="005B071D" w:rsidRPr="003D5FA7" w:rsidRDefault="005B071D">
            <w:pPr>
              <w:spacing w:after="40"/>
              <w:jc w:val="center"/>
              <w:rPr>
                <w:rFonts w:ascii="Times New Roman" w:hAnsi="Times New Roman" w:cs="Times New Roman"/>
                <w:sz w:val="24"/>
                <w:szCs w:val="24"/>
              </w:rPr>
            </w:pP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6DD9EF"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2,00</w:t>
            </w:r>
          </w:p>
        </w:tc>
      </w:tr>
    </w:tbl>
    <w:p w14:paraId="390291B8" w14:textId="77777777" w:rsidR="005B071D" w:rsidRPr="003D5FA7" w:rsidRDefault="005B071D">
      <w:pPr>
        <w:spacing w:after="120"/>
        <w:rPr>
          <w:rFonts w:ascii="Times New Roman" w:hAnsi="Times New Roman" w:cs="Times New Roman"/>
          <w:sz w:val="24"/>
          <w:szCs w:val="24"/>
        </w:rPr>
      </w:pPr>
    </w:p>
    <w:p w14:paraId="329D1F14"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LCOM96b = (1 / 4) × 2,00 = 0,50</w:t>
      </w:r>
    </w:p>
    <w:p w14:paraId="50BE16EF"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Interpretación:</w:t>
      </w:r>
      <w:r w:rsidRPr="003D5FA7">
        <w:rPr>
          <w:rFonts w:ascii="Times New Roman" w:hAnsi="Times New Roman" w:cs="Times New Roman"/>
          <w:sz w:val="24"/>
          <w:szCs w:val="24"/>
        </w:rPr>
        <w:t xml:space="preserve"> 0,0 es cohesión perfecta y 1,0 es la máxima falta de cohesión. El valor 0,50 indica cohesión intermedia: los métodos forman dos grupos,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ObtenerTotalRecaudado</w:t>
      </w:r>
      <w:r w:rsidRPr="003D5FA7">
        <w:rPr>
          <w:rFonts w:ascii="Times New Roman" w:hAnsi="Times New Roman" w:cs="Times New Roman"/>
          <w:sz w:val="24"/>
          <w:szCs w:val="24"/>
        </w:rPr>
        <w:t>} y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ObtenerTotalCanceladas</w:t>
      </w:r>
      <w:r w:rsidRPr="003D5FA7">
        <w:rPr>
          <w:rFonts w:ascii="Times New Roman" w:hAnsi="Times New Roman" w:cs="Times New Roman"/>
          <w:sz w:val="24"/>
          <w:szCs w:val="24"/>
        </w:rPr>
        <w:t xml:space="preserve">}, unidos únicamente por los dos campos de </w:t>
      </w:r>
      <w:r w:rsidRPr="003D5FA7">
        <w:rPr>
          <w:rFonts w:ascii="Times New Roman" w:hAnsi="Times New Roman" w:cs="Times New Roman"/>
          <w:sz w:val="24"/>
          <w:szCs w:val="24"/>
        </w:rPr>
        <w:t>infraestructura (</w:t>
      </w:r>
      <w:r w:rsidRPr="003D5FA7">
        <w:rPr>
          <w:rFonts w:ascii="Times New Roman" w:eastAsia="Consolas" w:hAnsi="Times New Roman" w:cs="Times New Roman"/>
          <w:sz w:val="24"/>
          <w:szCs w:val="24"/>
        </w:rPr>
        <w:t>_db</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_notificador</w:t>
      </w:r>
      <w:r w:rsidRPr="003D5FA7">
        <w:rPr>
          <w:rFonts w:ascii="Times New Roman" w:hAnsi="Times New Roman" w:cs="Times New Roman"/>
          <w:sz w:val="24"/>
          <w:szCs w:val="24"/>
        </w:rPr>
        <w:t>).</w:t>
      </w:r>
    </w:p>
    <w:p w14:paraId="2782B268" w14:textId="77777777" w:rsidR="005B071D" w:rsidRPr="003D5FA7" w:rsidRDefault="00316414">
      <w:pPr>
        <w:pBdr>
          <w:left w:val="single" w:sz="18" w:space="6" w:color="E0A800"/>
        </w:pBdr>
        <w:shd w:val="clear" w:color="auto" w:fill="FFF4D6"/>
        <w:spacing w:before="80" w:after="160"/>
        <w:ind w:left="200"/>
        <w:rPr>
          <w:rFonts w:ascii="Times New Roman" w:hAnsi="Times New Roman" w:cs="Times New Roman"/>
          <w:sz w:val="24"/>
          <w:szCs w:val="24"/>
        </w:rPr>
      </w:pPr>
      <w:r w:rsidRPr="003D5FA7">
        <w:rPr>
          <w:rFonts w:ascii="Times New Roman" w:hAnsi="Times New Roman" w:cs="Times New Roman"/>
          <w:b/>
          <w:bCs/>
          <w:sz w:val="24"/>
          <w:szCs w:val="24"/>
        </w:rPr>
        <w:t>Lectura crítica:</w:t>
      </w:r>
      <w:r w:rsidRPr="003D5FA7">
        <w:rPr>
          <w:rFonts w:ascii="Times New Roman" w:hAnsi="Times New Roman" w:cs="Times New Roman"/>
          <w:sz w:val="24"/>
          <w:szCs w:val="24"/>
        </w:rPr>
        <w:t xml:space="preserve"> LCOM96b solo «ve» el reparto de atributos entre métodos. Aquí la mezcla de responsabilidades está </w:t>
      </w:r>
      <w:r w:rsidRPr="003D5FA7">
        <w:rPr>
          <w:rFonts w:ascii="Times New Roman" w:hAnsi="Times New Roman" w:cs="Times New Roman"/>
          <w:b/>
          <w:bCs/>
          <w:sz w:val="24"/>
          <w:szCs w:val="24"/>
        </w:rPr>
        <w:t>dentro</w:t>
      </w:r>
      <w:r w:rsidRPr="003D5FA7">
        <w:rPr>
          <w:rFonts w:ascii="Times New Roman" w:hAnsi="Times New Roman" w:cs="Times New Roman"/>
          <w:sz w:val="24"/>
          <w:szCs w:val="24"/>
        </w:rPr>
        <w:t xml:space="preserve"> de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(tarifas, validación, creación, persistencia, notificación), por lo que la métric</w:t>
      </w:r>
      <w:r w:rsidRPr="003D5FA7">
        <w:rPr>
          <w:rFonts w:ascii="Times New Roman" w:hAnsi="Times New Roman" w:cs="Times New Roman"/>
          <w:sz w:val="24"/>
          <w:szCs w:val="24"/>
        </w:rPr>
        <w:t>a subestima el problema. Conviene decirlo en el informe y respaldarlo con la complejidad ciclomática (6.8) y con Ce.</w:t>
      </w:r>
    </w:p>
    <w:p w14:paraId="5C03029E"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6.3. Acoplamiento aferente (Ca) y eferente (Ce)</w:t>
      </w:r>
    </w:p>
    <w:p w14:paraId="7A884222"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Ca = 1</w:t>
      </w:r>
      <w:r w:rsidRPr="003D5FA7">
        <w:rPr>
          <w:rFonts w:ascii="Times New Roman" w:hAnsi="Times New Roman" w:cs="Times New Roman"/>
          <w:sz w:val="24"/>
          <w:szCs w:val="24"/>
        </w:rPr>
        <w:t xml:space="preserve"> — Componentes que dependen de </w:t>
      </w:r>
      <w:r w:rsidRPr="003D5FA7">
        <w:rPr>
          <w:rFonts w:ascii="Times New Roman" w:eastAsia="Consolas" w:hAnsi="Times New Roman" w:cs="Times New Roman"/>
          <w:sz w:val="24"/>
          <w:szCs w:val="24"/>
        </w:rPr>
        <w:t>GestorCitasOdontologicas</w:t>
      </w:r>
      <w:r w:rsidRPr="003D5FA7">
        <w:rPr>
          <w:rFonts w:ascii="Times New Roman" w:hAnsi="Times New Roman" w:cs="Times New Roman"/>
          <w:sz w:val="24"/>
          <w:szCs w:val="24"/>
        </w:rPr>
        <w:t>:</w:t>
      </w:r>
    </w:p>
    <w:p w14:paraId="585E1147"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Program.cs</w:t>
      </w:r>
      <w:r w:rsidRPr="003D5FA7">
        <w:rPr>
          <w:rFonts w:ascii="Times New Roman" w:hAnsi="Times New Roman" w:cs="Times New Roman"/>
          <w:sz w:val="24"/>
          <w:szCs w:val="24"/>
        </w:rPr>
        <w:t xml:space="preserve"> (crea el gestor con </w:t>
      </w:r>
      <w:r w:rsidRPr="003D5FA7">
        <w:rPr>
          <w:rFonts w:ascii="Times New Roman" w:eastAsia="Consolas" w:hAnsi="Times New Roman" w:cs="Times New Roman"/>
          <w:sz w:val="24"/>
          <w:szCs w:val="24"/>
        </w:rPr>
        <w:t>new</w:t>
      </w:r>
      <w:r w:rsidRPr="003D5FA7">
        <w:rPr>
          <w:rFonts w:ascii="Times New Roman" w:hAnsi="Times New Roman" w:cs="Times New Roman"/>
          <w:sz w:val="24"/>
          <w:szCs w:val="24"/>
        </w:rPr>
        <w:t xml:space="preserve">, L.8, y llama a </w:t>
      </w: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CancelarCita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ObtenerTotalRecaudado</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ObtenerTotalCanceladas</w:t>
      </w:r>
      <w:r w:rsidRPr="003D5FA7">
        <w:rPr>
          <w:rFonts w:ascii="Times New Roman" w:hAnsi="Times New Roman" w:cs="Times New Roman"/>
          <w:sz w:val="24"/>
          <w:szCs w:val="24"/>
        </w:rPr>
        <w:t>).</w:t>
      </w:r>
    </w:p>
    <w:p w14:paraId="2BC9C59C"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t>Ce = 5</w:t>
      </w:r>
      <w:r w:rsidRPr="003D5FA7">
        <w:rPr>
          <w:rFonts w:ascii="Times New Roman" w:hAnsi="Times New Roman" w:cs="Times New Roman"/>
          <w:sz w:val="24"/>
          <w:szCs w:val="24"/>
        </w:rPr>
        <w:t xml:space="preserve"> — Componentes de los que depende </w:t>
      </w:r>
      <w:r w:rsidRPr="003D5FA7">
        <w:rPr>
          <w:rFonts w:ascii="Times New Roman" w:eastAsia="Consolas" w:hAnsi="Times New Roman" w:cs="Times New Roman"/>
          <w:sz w:val="24"/>
          <w:szCs w:val="24"/>
        </w:rPr>
        <w:t>GestorCitasOdontologicas</w:t>
      </w:r>
      <w:r w:rsidRPr="003D5FA7">
        <w:rPr>
          <w:rFonts w:ascii="Times New Roman" w:hAnsi="Times New Roman" w:cs="Times New Roman"/>
          <w:sz w:val="24"/>
          <w:szCs w:val="24"/>
        </w:rPr>
        <w:t>:</w:t>
      </w:r>
    </w:p>
    <w:p w14:paraId="76AEABF7"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SqlServerEjecutor</w:t>
      </w:r>
      <w:r w:rsidRPr="003D5FA7">
        <w:rPr>
          <w:rFonts w:ascii="Times New Roman" w:hAnsi="Times New Roman" w:cs="Times New Roman"/>
          <w:sz w:val="24"/>
          <w:szCs w:val="24"/>
        </w:rPr>
        <w:t xml:space="preserve"> (L.7).</w:t>
      </w:r>
    </w:p>
    <w:p w14:paraId="260808B6"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NotificacionServicio</w:t>
      </w:r>
      <w:r w:rsidRPr="003D5FA7">
        <w:rPr>
          <w:rFonts w:ascii="Times New Roman" w:hAnsi="Times New Roman" w:cs="Times New Roman"/>
          <w:sz w:val="24"/>
          <w:szCs w:val="24"/>
        </w:rPr>
        <w:t xml:space="preserve"> (L.8).</w:t>
      </w:r>
    </w:p>
    <w:p w14:paraId="1D42E9D6"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Cita</w:t>
      </w:r>
      <w:r w:rsidRPr="003D5FA7">
        <w:rPr>
          <w:rFonts w:ascii="Times New Roman" w:hAnsi="Times New Roman" w:cs="Times New Roman"/>
          <w:sz w:val="24"/>
          <w:szCs w:val="24"/>
        </w:rPr>
        <w:t xml:space="preserve"> (retorno y construcción, L.12 y L.58).</w:t>
      </w:r>
    </w:p>
    <w:p w14:paraId="2B1187AB"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Paciente</w:t>
      </w:r>
      <w:r w:rsidRPr="003D5FA7">
        <w:rPr>
          <w:rFonts w:ascii="Times New Roman" w:hAnsi="Times New Roman" w:cs="Times New Roman"/>
          <w:sz w:val="24"/>
          <w:szCs w:val="24"/>
        </w:rPr>
        <w:t xml:space="preserve"> (parámetro, L.12).</w:t>
      </w:r>
    </w:p>
    <w:p w14:paraId="5A8E6530"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eastAsia="Consolas" w:hAnsi="Times New Roman" w:cs="Times New Roman"/>
          <w:sz w:val="24"/>
          <w:szCs w:val="24"/>
        </w:rPr>
        <w:t>Odontologo</w:t>
      </w:r>
      <w:r w:rsidRPr="003D5FA7">
        <w:rPr>
          <w:rFonts w:ascii="Times New Roman" w:hAnsi="Times New Roman" w:cs="Times New Roman"/>
          <w:sz w:val="24"/>
          <w:szCs w:val="24"/>
        </w:rPr>
        <w:t xml:space="preserve"> (parámetro, L.12).</w:t>
      </w:r>
    </w:p>
    <w:p w14:paraId="23CCD9E0"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b/>
          <w:bCs/>
          <w:sz w:val="24"/>
          <w:szCs w:val="24"/>
        </w:rPr>
        <w:lastRenderedPageBreak/>
        <w:t>Sensibilidad:</w:t>
      </w:r>
      <w:r w:rsidRPr="003D5FA7">
        <w:rPr>
          <w:rFonts w:ascii="Times New Roman" w:hAnsi="Times New Roman" w:cs="Times New Roman"/>
          <w:sz w:val="24"/>
          <w:szCs w:val="24"/>
        </w:rPr>
        <w:t xml:space="preserve"> si se incluyeran los tipos del framework (</w:t>
      </w:r>
      <w:r w:rsidRPr="003D5FA7">
        <w:rPr>
          <w:rFonts w:ascii="Times New Roman" w:eastAsia="Consolas" w:hAnsi="Times New Roman" w:cs="Times New Roman"/>
          <w:sz w:val="24"/>
          <w:szCs w:val="24"/>
        </w:rPr>
        <w:t>Exception</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DateTime</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TimeSpan</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Guid</w:t>
      </w:r>
      <w:r w:rsidRPr="003D5FA7">
        <w:rPr>
          <w:rFonts w:ascii="Times New Roman" w:hAnsi="Times New Roman" w:cs="Times New Roman"/>
          <w:sz w:val="24"/>
          <w:szCs w:val="24"/>
        </w:rPr>
        <w:t xml:space="preserve">), Ce sería 9. Además, de forma </w:t>
      </w:r>
      <w:r w:rsidRPr="003D5FA7">
        <w:rPr>
          <w:rFonts w:ascii="Times New Roman" w:hAnsi="Times New Roman" w:cs="Times New Roman"/>
          <w:b/>
          <w:bCs/>
          <w:sz w:val="24"/>
          <w:szCs w:val="24"/>
        </w:rPr>
        <w:t>transitiva</w:t>
      </w:r>
      <w:r w:rsidRPr="003D5FA7">
        <w:rPr>
          <w:rFonts w:ascii="Times New Roman" w:hAnsi="Times New Roman" w:cs="Times New Roman"/>
          <w:sz w:val="24"/>
          <w:szCs w:val="24"/>
        </w:rPr>
        <w:t xml:space="preserve">, el gestor queda ligado </w:t>
      </w:r>
      <w:r w:rsidRPr="003D5FA7">
        <w:rPr>
          <w:rFonts w:ascii="Times New Roman" w:hAnsi="Times New Roman" w:cs="Times New Roman"/>
          <w:sz w:val="24"/>
          <w:szCs w:val="24"/>
        </w:rPr>
        <w:t xml:space="preserve">a </w:t>
      </w:r>
      <w:r w:rsidRPr="003D5FA7">
        <w:rPr>
          <w:rFonts w:ascii="Times New Roman" w:eastAsia="Consolas" w:hAnsi="Times New Roman" w:cs="Times New Roman"/>
          <w:sz w:val="24"/>
          <w:szCs w:val="24"/>
        </w:rPr>
        <w:t>System.Data.SqlClient</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System.Net.Mail</w:t>
      </w:r>
      <w:r w:rsidRPr="003D5FA7">
        <w:rPr>
          <w:rFonts w:ascii="Times New Roman" w:hAnsi="Times New Roman" w:cs="Times New Roman"/>
          <w:sz w:val="24"/>
          <w:szCs w:val="24"/>
        </w:rPr>
        <w:t xml:space="preserve"> a través de sus dos colaboradores.</w:t>
      </w:r>
    </w:p>
    <w:p w14:paraId="04CF2E63"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6.4. Inestabilidad (I)</w:t>
      </w:r>
    </w:p>
    <w:p w14:paraId="1B332E6F"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I = Ce / (Ce + Ca) = 5 / (5 + 1) = 0,833</w:t>
      </w:r>
    </w:p>
    <w:p w14:paraId="15892115"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El gestor es un componente inestable: depende de mucho y casi nada depende de él. Con Ce = 9 la inestabilidad sería</w:t>
      </w:r>
      <w:r w:rsidRPr="003D5FA7">
        <w:rPr>
          <w:rFonts w:ascii="Times New Roman" w:hAnsi="Times New Roman" w:cs="Times New Roman"/>
          <w:sz w:val="24"/>
          <w:szCs w:val="24"/>
        </w:rPr>
        <w:t xml:space="preserve"> 0,90.</w:t>
      </w:r>
    </w:p>
    <w:p w14:paraId="48C6E46A"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6.5. Abstracción (A)</w:t>
      </w:r>
    </w:p>
    <w:p w14:paraId="1135A2C8"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A = Σ m_a / Σ m_c = 0 / 4 = 0,00</w:t>
      </w:r>
    </w:p>
    <w:p w14:paraId="51B29830"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No existen interfaces ni clases abstractas en toda la solución: los cuatro métodos del gestor son concretos y también los de las demás clases (</w:t>
      </w:r>
      <w:r w:rsidRPr="003D5FA7">
        <w:rPr>
          <w:rFonts w:ascii="Times New Roman" w:eastAsia="Consolas" w:hAnsi="Times New Roman" w:cs="Times New Roman"/>
          <w:sz w:val="24"/>
          <w:szCs w:val="24"/>
        </w:rPr>
        <w:t>GuardarCita</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ActualizarCancelacion</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EnviarEmailYSms</w:t>
      </w:r>
      <w:r w:rsidRPr="003D5FA7">
        <w:rPr>
          <w:rFonts w:ascii="Times New Roman" w:hAnsi="Times New Roman" w:cs="Times New Roman"/>
          <w:sz w:val="24"/>
          <w:szCs w:val="24"/>
        </w:rPr>
        <w:t>,</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GenerarTextoConfirmacion</w:t>
      </w:r>
      <w:r w:rsidRPr="003D5FA7">
        <w:rPr>
          <w:rFonts w:ascii="Times New Roman" w:hAnsi="Times New Roman" w:cs="Times New Roman"/>
          <w:sz w:val="24"/>
          <w:szCs w:val="24"/>
        </w:rPr>
        <w:t>). A nivel de solución, A = 0 / 8 = 0,00.</w:t>
      </w:r>
    </w:p>
    <w:p w14:paraId="4B8558DB"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6.6. Distancia a la Secuencia Principal (D)</w:t>
      </w:r>
    </w:p>
    <w:p w14:paraId="55AEA738" w14:textId="77777777" w:rsidR="005B071D" w:rsidRPr="003D5FA7" w:rsidRDefault="00316414">
      <w:pPr>
        <w:shd w:val="clear" w:color="auto" w:fill="F2F2F2"/>
        <w:spacing w:after="60"/>
        <w:ind w:left="360"/>
        <w:rPr>
          <w:rFonts w:ascii="Times New Roman" w:hAnsi="Times New Roman" w:cs="Times New Roman"/>
          <w:sz w:val="24"/>
          <w:szCs w:val="24"/>
        </w:rPr>
      </w:pPr>
      <w:r w:rsidRPr="003D5FA7">
        <w:rPr>
          <w:rFonts w:ascii="Times New Roman" w:eastAsia="Consolas" w:hAnsi="Times New Roman" w:cs="Times New Roman"/>
          <w:sz w:val="24"/>
          <w:szCs w:val="24"/>
        </w:rPr>
        <w:t>D = |A + I − 1| = |0,00 + 0,833 − 1| = 0,167</w:t>
      </w:r>
    </w:p>
    <w:p w14:paraId="2851EB22" w14:textId="77777777" w:rsidR="005B071D" w:rsidRPr="003D5FA7" w:rsidRDefault="00316414">
      <w:pPr>
        <w:pBdr>
          <w:left w:val="single" w:sz="18" w:space="6" w:color="E0A800"/>
        </w:pBdr>
        <w:shd w:val="clear" w:color="auto" w:fill="FFF4D6"/>
        <w:spacing w:before="80" w:after="160"/>
        <w:ind w:left="200"/>
        <w:rPr>
          <w:rFonts w:ascii="Times New Roman" w:hAnsi="Times New Roman" w:cs="Times New Roman"/>
          <w:sz w:val="24"/>
          <w:szCs w:val="24"/>
        </w:rPr>
      </w:pPr>
      <w:r w:rsidRPr="003D5FA7">
        <w:rPr>
          <w:rFonts w:ascii="Times New Roman" w:hAnsi="Times New Roman" w:cs="Times New Roman"/>
          <w:b/>
          <w:bCs/>
          <w:sz w:val="24"/>
          <w:szCs w:val="24"/>
        </w:rPr>
        <w:t>A validar con el docente:</w:t>
      </w:r>
      <w:r w:rsidRPr="003D5FA7">
        <w:rPr>
          <w:rFonts w:ascii="Times New Roman" w:hAnsi="Times New Roman" w:cs="Times New Roman"/>
          <w:sz w:val="24"/>
          <w:szCs w:val="24"/>
        </w:rPr>
        <w:t xml:space="preserve"> el resumen de la práctica transcribe la fórmula como </w:t>
      </w:r>
      <w:r w:rsidRPr="003D5FA7">
        <w:rPr>
          <w:rFonts w:ascii="Times New Roman" w:eastAsia="Consolas" w:hAnsi="Times New Roman" w:cs="Times New Roman"/>
          <w:sz w:val="24"/>
          <w:szCs w:val="24"/>
        </w:rPr>
        <w:t>D = |A + I| − 1</w:t>
      </w:r>
      <w:r w:rsidRPr="003D5FA7">
        <w:rPr>
          <w:rFonts w:ascii="Times New Roman" w:hAnsi="Times New Roman" w:cs="Times New Roman"/>
          <w:sz w:val="24"/>
          <w:szCs w:val="24"/>
        </w:rPr>
        <w:t xml:space="preserve">. Con </w:t>
      </w:r>
      <w:r w:rsidRPr="003D5FA7">
        <w:rPr>
          <w:rFonts w:ascii="Times New Roman" w:hAnsi="Times New Roman" w:cs="Times New Roman"/>
          <w:sz w:val="24"/>
          <w:szCs w:val="24"/>
        </w:rPr>
        <w:t xml:space="preserve">esa expresión el resultado sería −0,167, una distancia negativa que no tiene sentido. La forma estándar de Martin es </w:t>
      </w:r>
      <w:r w:rsidRPr="003D5FA7">
        <w:rPr>
          <w:rFonts w:ascii="Times New Roman" w:eastAsia="Consolas" w:hAnsi="Times New Roman" w:cs="Times New Roman"/>
          <w:sz w:val="24"/>
          <w:szCs w:val="24"/>
        </w:rPr>
        <w:t>|A + I − 1|</w:t>
      </w:r>
      <w:r w:rsidRPr="003D5FA7">
        <w:rPr>
          <w:rFonts w:ascii="Times New Roman" w:hAnsi="Times New Roman" w:cs="Times New Roman"/>
          <w:sz w:val="24"/>
          <w:szCs w:val="24"/>
        </w:rPr>
        <w:t>, que es la usada aquí. Confirmar contra el PDF original.</w:t>
      </w:r>
    </w:p>
    <w:p w14:paraId="69B63E62"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6.7. Zona de Dolor (Zone of Pain)</w:t>
      </w:r>
    </w:p>
    <w:p w14:paraId="0F8416F0"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La Zona de Dolor corresponde a A ≈ 0 e I ≈ 0 (concreto y muy estable, con muchos dependientes). Para </w:t>
      </w:r>
      <w:r w:rsidRPr="003D5FA7">
        <w:rPr>
          <w:rFonts w:ascii="Times New Roman" w:eastAsia="Consolas" w:hAnsi="Times New Roman" w:cs="Times New Roman"/>
          <w:sz w:val="24"/>
          <w:szCs w:val="24"/>
        </w:rPr>
        <w:t>GestorCitasOdontologicas</w:t>
      </w:r>
      <w:r w:rsidRPr="003D5FA7">
        <w:rPr>
          <w:rFonts w:ascii="Times New Roman" w:hAnsi="Times New Roman" w:cs="Times New Roman"/>
          <w:sz w:val="24"/>
          <w:szCs w:val="24"/>
        </w:rPr>
        <w:t xml:space="preserve">, A = 0 pero I = 0,833, por lo que </w:t>
      </w:r>
      <w:r w:rsidRPr="003D5FA7">
        <w:rPr>
          <w:rFonts w:ascii="Times New Roman" w:hAnsi="Times New Roman" w:cs="Times New Roman"/>
          <w:b/>
          <w:bCs/>
          <w:sz w:val="24"/>
          <w:szCs w:val="24"/>
        </w:rPr>
        <w:t>no cae en la Zona de Dolor</w:t>
      </w:r>
      <w:r w:rsidRPr="003D5FA7">
        <w:rPr>
          <w:rFonts w:ascii="Times New Roman" w:hAnsi="Times New Roman" w:cs="Times New Roman"/>
          <w:sz w:val="24"/>
          <w:szCs w:val="24"/>
        </w:rPr>
        <w:t xml:space="preserve">: se ubica cerca del vértice (A = 0, I = 1) de la Secuencia Principal </w:t>
      </w:r>
      <w:r w:rsidRPr="003D5FA7">
        <w:rPr>
          <w:rFonts w:ascii="Times New Roman" w:hAnsi="Times New Roman" w:cs="Times New Roman"/>
          <w:sz w:val="24"/>
          <w:szCs w:val="24"/>
        </w:rPr>
        <w:t>(D = 0,167). Esto es coherente con su papel de componente volátil y de bajo Ca.</w:t>
      </w:r>
    </w:p>
    <w:p w14:paraId="5970A6CA"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El problema del gestor no aparece en su posición A–I, sino en sus otros indicadores: Ce alto, cohesión intermedia con responsabilidades mezcladas dentro de un método, y ausenci</w:t>
      </w:r>
      <w:r w:rsidRPr="003D5FA7">
        <w:rPr>
          <w:rFonts w:ascii="Times New Roman" w:hAnsi="Times New Roman" w:cs="Times New Roman"/>
          <w:sz w:val="24"/>
          <w:szCs w:val="24"/>
        </w:rPr>
        <w:t>a total de abstracciones (A = 0).</w:t>
      </w:r>
    </w:p>
    <w:p w14:paraId="51BB76A9"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Sí aparecen en la Zona de Dolor las entidades estables (ver tabla siguiente), lo que es aceptable mientras sean datos poco volátiles, pero impide modificarlas sin afectar a sus dependientes.</w:t>
      </w:r>
    </w:p>
    <w:p w14:paraId="1FC42516" w14:textId="77777777" w:rsidR="005B071D" w:rsidRPr="003D5FA7" w:rsidRDefault="00316414">
      <w:pPr>
        <w:pStyle w:val="Ttulo3"/>
        <w:rPr>
          <w:rFonts w:ascii="Times New Roman" w:hAnsi="Times New Roman" w:cs="Times New Roman"/>
          <w:sz w:val="24"/>
          <w:szCs w:val="24"/>
        </w:rPr>
      </w:pPr>
      <w:r w:rsidRPr="003D5FA7">
        <w:rPr>
          <w:rFonts w:ascii="Times New Roman" w:hAnsi="Times New Roman" w:cs="Times New Roman"/>
          <w:sz w:val="24"/>
          <w:szCs w:val="24"/>
        </w:rPr>
        <w:t>Tabla complementaria: demás tip</w:t>
      </w:r>
      <w:r w:rsidRPr="003D5FA7">
        <w:rPr>
          <w:rFonts w:ascii="Times New Roman" w:hAnsi="Times New Roman" w:cs="Times New Roman"/>
          <w:sz w:val="24"/>
          <w:szCs w:val="24"/>
        </w:rPr>
        <w:t>os de la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680"/>
        <w:gridCol w:w="678"/>
        <w:gridCol w:w="782"/>
        <w:gridCol w:w="782"/>
        <w:gridCol w:w="782"/>
        <w:gridCol w:w="2922"/>
      </w:tblGrid>
      <w:tr w:rsidR="005B071D" w:rsidRPr="003D5FA7" w14:paraId="52DE256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CF81D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DB55F4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Ca</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21469BB"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Ce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428DCFD"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I</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EB29646"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A</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43BD66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D</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69CA7CC"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Observación</w:t>
            </w:r>
          </w:p>
        </w:tc>
      </w:tr>
      <w:tr w:rsidR="005B071D" w:rsidRPr="003D5FA7" w14:paraId="34987A3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F4E00FE"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GestorCitasOdontologicas</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E88CD90"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142FD7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2032E4D"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0,83</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F1418EA"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0C93CA"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0,17</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A8E6A8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Cerca de la Secuencia Principal; no está en la Zona de Dolor.</w:t>
            </w:r>
          </w:p>
        </w:tc>
      </w:tr>
      <w:tr w:rsidR="005B071D" w:rsidRPr="003D5FA7" w14:paraId="5033987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895F915"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SqlServerEjecutor</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C8177B1"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DD98BB4"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DD16063"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0,50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46BBAA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3E4D99C"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0,50</w:t>
            </w:r>
          </w:p>
        </w:tc>
        <w:tc>
          <w:tcPr>
            <w:tcW w:w="30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D7D04F2"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Concreto, detalle de infraestructura.</w:t>
            </w:r>
          </w:p>
        </w:tc>
      </w:tr>
      <w:tr w:rsidR="005B071D" w:rsidRPr="003D5FA7" w14:paraId="7D36279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66E1F25"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lastRenderedPageBreak/>
              <w:t>NotificacionServicio</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ADB492"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F50E9F"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F3EAB7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0,50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452644"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1D9A1FF"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0,50</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5287C5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Concreto, detalle de infraestructura.</w:t>
            </w:r>
          </w:p>
        </w:tc>
      </w:tr>
      <w:tr w:rsidR="005B071D" w:rsidRPr="003D5FA7" w14:paraId="3F88447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19A7300"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Cita</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D3A8D0F"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A424BEC"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C675D8D"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0,33</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47CA246"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C6A05D0"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0,67</w:t>
            </w:r>
          </w:p>
        </w:tc>
        <w:tc>
          <w:tcPr>
            <w:tcW w:w="30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A6DC0B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Muy usada y concreta: tendencia hacia la Zona de Dolor.</w:t>
            </w:r>
          </w:p>
        </w:tc>
      </w:tr>
      <w:tr w:rsidR="005B071D" w:rsidRPr="003D5FA7" w14:paraId="0498579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B76457"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Paciente</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B915903"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10A826"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0F8E66"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D6BBA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FEA5615"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1,00</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BF517A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sz w:val="24"/>
                <w:szCs w:val="24"/>
              </w:rPr>
              <w:t>Zona de Dolor</w:t>
            </w:r>
            <w:r w:rsidRPr="003D5FA7">
              <w:rPr>
                <w:rFonts w:ascii="Times New Roman" w:hAnsi="Times New Roman" w:cs="Times New Roman"/>
                <w:sz w:val="24"/>
                <w:szCs w:val="24"/>
              </w:rPr>
              <w:t xml:space="preserve"> (entidad estable).</w:t>
            </w:r>
          </w:p>
        </w:tc>
      </w:tr>
      <w:tr w:rsidR="005B071D" w:rsidRPr="003D5FA7" w14:paraId="55FDE91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3648561"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Odontologo</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25DD86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5445638"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9AC518D"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2C15255"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D8064FD"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1,00</w:t>
            </w:r>
          </w:p>
        </w:tc>
        <w:tc>
          <w:tcPr>
            <w:tcW w:w="30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1AF1D2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sz w:val="24"/>
                <w:szCs w:val="24"/>
              </w:rPr>
              <w:t>Zona de Dolor</w:t>
            </w:r>
            <w:r w:rsidRPr="003D5FA7">
              <w:rPr>
                <w:rFonts w:ascii="Times New Roman" w:hAnsi="Times New Roman" w:cs="Times New Roman"/>
                <w:sz w:val="24"/>
                <w:szCs w:val="24"/>
              </w:rPr>
              <w:t xml:space="preserve"> (entidad estable).</w:t>
            </w:r>
          </w:p>
        </w:tc>
      </w:tr>
    </w:tbl>
    <w:p w14:paraId="08E4BAC1" w14:textId="77777777" w:rsidR="005B071D" w:rsidRPr="003D5FA7" w:rsidRDefault="00316414">
      <w:pPr>
        <w:spacing w:before="80" w:after="120"/>
        <w:rPr>
          <w:rFonts w:ascii="Times New Roman" w:hAnsi="Times New Roman" w:cs="Times New Roman"/>
          <w:sz w:val="24"/>
          <w:szCs w:val="24"/>
        </w:rPr>
      </w:pPr>
      <w:r w:rsidRPr="003D5FA7">
        <w:rPr>
          <w:rFonts w:ascii="Times New Roman" w:hAnsi="Times New Roman" w:cs="Times New Roman"/>
          <w:sz w:val="24"/>
          <w:szCs w:val="24"/>
        </w:rPr>
        <w:t>Nota: en los tipos sin métodos (</w:t>
      </w:r>
      <w:r w:rsidRPr="003D5FA7">
        <w:rPr>
          <w:rFonts w:ascii="Times New Roman" w:eastAsia="Consolas" w:hAnsi="Times New Roman" w:cs="Times New Roman"/>
          <w:sz w:val="24"/>
          <w:szCs w:val="24"/>
        </w:rPr>
        <w:t>Paciente</w:t>
      </w:r>
      <w:r w:rsidRPr="003D5FA7">
        <w:rPr>
          <w:rFonts w:ascii="Times New Roman" w:hAnsi="Times New Roman" w:cs="Times New Roman"/>
          <w:sz w:val="24"/>
          <w:szCs w:val="24"/>
        </w:rPr>
        <w:t xml:space="preserve">, </w:t>
      </w:r>
      <w:r w:rsidRPr="003D5FA7">
        <w:rPr>
          <w:rFonts w:ascii="Times New Roman" w:eastAsia="Consolas" w:hAnsi="Times New Roman" w:cs="Times New Roman"/>
          <w:sz w:val="24"/>
          <w:szCs w:val="24"/>
        </w:rPr>
        <w:t>Odontologo</w:t>
      </w:r>
      <w:r w:rsidRPr="003D5FA7">
        <w:rPr>
          <w:rFonts w:ascii="Times New Roman" w:hAnsi="Times New Roman" w:cs="Times New Roman"/>
          <w:sz w:val="24"/>
          <w:szCs w:val="24"/>
        </w:rPr>
        <w:t xml:space="preserve">) se toma A = 0. El Ce de </w:t>
      </w:r>
      <w:r w:rsidRPr="003D5FA7">
        <w:rPr>
          <w:rFonts w:ascii="Times New Roman" w:eastAsia="Consolas" w:hAnsi="Times New Roman" w:cs="Times New Roman"/>
          <w:sz w:val="24"/>
          <w:szCs w:val="24"/>
        </w:rPr>
        <w:t>SqlServerEjecutor</w:t>
      </w:r>
      <w:r w:rsidRPr="003D5FA7">
        <w:rPr>
          <w:rFonts w:ascii="Times New Roman" w:hAnsi="Times New Roman" w:cs="Times New Roman"/>
          <w:sz w:val="24"/>
          <w:szCs w:val="24"/>
        </w:rPr>
        <w:t xml:space="preserve"> y </w:t>
      </w:r>
      <w:r w:rsidRPr="003D5FA7">
        <w:rPr>
          <w:rFonts w:ascii="Times New Roman" w:eastAsia="Consolas" w:hAnsi="Times New Roman" w:cs="Times New Roman"/>
          <w:sz w:val="24"/>
          <w:szCs w:val="24"/>
        </w:rPr>
        <w:t>NotificacionServicio</w:t>
      </w:r>
      <w:r w:rsidRPr="003D5FA7">
        <w:rPr>
          <w:rFonts w:ascii="Times New Roman" w:hAnsi="Times New Roman" w:cs="Times New Roman"/>
          <w:sz w:val="24"/>
          <w:szCs w:val="24"/>
        </w:rPr>
        <w:t xml:space="preserve"> cuenta solo </w:t>
      </w:r>
      <w:r w:rsidRPr="003D5FA7">
        <w:rPr>
          <w:rFonts w:ascii="Times New Roman" w:eastAsia="Consolas" w:hAnsi="Times New Roman" w:cs="Times New Roman"/>
          <w:sz w:val="24"/>
          <w:szCs w:val="24"/>
        </w:rPr>
        <w:t>Cita</w:t>
      </w:r>
      <w:r w:rsidRPr="003D5FA7">
        <w:rPr>
          <w:rFonts w:ascii="Times New Roman" w:hAnsi="Times New Roman" w:cs="Times New Roman"/>
          <w:sz w:val="24"/>
          <w:szCs w:val="24"/>
        </w:rPr>
        <w:t>, el único tipo que nombran explícitamente.</w:t>
      </w:r>
    </w:p>
    <w:p w14:paraId="49DD40F3" w14:textId="77777777" w:rsidR="005B071D" w:rsidRPr="003D5FA7" w:rsidRDefault="00316414">
      <w:pPr>
        <w:pStyle w:val="Ttulo2"/>
        <w:rPr>
          <w:rFonts w:ascii="Times New Roman" w:hAnsi="Times New Roman" w:cs="Times New Roman"/>
          <w:sz w:val="24"/>
          <w:szCs w:val="24"/>
        </w:rPr>
      </w:pPr>
      <w:r w:rsidRPr="003D5FA7">
        <w:rPr>
          <w:rFonts w:ascii="Times New Roman" w:hAnsi="Times New Roman" w:cs="Times New Roman"/>
          <w:sz w:val="24"/>
          <w:szCs w:val="24"/>
        </w:rPr>
        <w:t>6.8. Métrica complementaria: complejidad ciclomática (conteo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5B071D" w:rsidRPr="003D5FA7" w14:paraId="620A029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8118504"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Método</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328C304"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Puntos de decisión</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DCE651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Complejidad</w:t>
            </w:r>
          </w:p>
        </w:tc>
      </w:tr>
      <w:tr w:rsidR="005B071D" w:rsidRPr="003D5FA7" w14:paraId="0CE160F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513559E"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AgendarCita</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1C86FA8"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L.14, 22, 26, 30, 34, 40, 44, 49, 54 (9 decisiones)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170510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b/>
                <w:bCs/>
                <w:sz w:val="24"/>
                <w:szCs w:val="24"/>
              </w:rPr>
              <w:t>10</w:t>
            </w:r>
          </w:p>
        </w:tc>
      </w:tr>
      <w:tr w:rsidR="005B071D" w:rsidRPr="003D5FA7" w14:paraId="49CE157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D50F0DE"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CancelarCita</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5353D07"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L.79, 81 (2 decisiones)</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673213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3</w:t>
            </w:r>
          </w:p>
        </w:tc>
      </w:tr>
      <w:tr w:rsidR="005B071D" w:rsidRPr="003D5FA7" w14:paraId="3ADB757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1B6CCD"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ObtenerTotalRecaudado</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29A8C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63C858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r>
      <w:tr w:rsidR="005B071D" w:rsidRPr="003D5FA7" w14:paraId="335F66F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03645E0" w14:textId="77777777" w:rsidR="005B071D" w:rsidRPr="003D5FA7" w:rsidRDefault="00316414">
            <w:pPr>
              <w:spacing w:after="40"/>
              <w:rPr>
                <w:rFonts w:ascii="Times New Roman" w:hAnsi="Times New Roman" w:cs="Times New Roman"/>
                <w:sz w:val="24"/>
                <w:szCs w:val="24"/>
              </w:rPr>
            </w:pPr>
            <w:r w:rsidRPr="003D5FA7">
              <w:rPr>
                <w:rFonts w:ascii="Times New Roman" w:eastAsia="Consolas" w:hAnsi="Times New Roman" w:cs="Times New Roman"/>
                <w:sz w:val="24"/>
                <w:szCs w:val="24"/>
              </w:rPr>
              <w:t>ObtenerTotalCanceladas</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D236E95"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355F331"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r>
    </w:tbl>
    <w:p w14:paraId="6DFD9BC5" w14:textId="77777777" w:rsidR="005B071D" w:rsidRPr="003D5FA7" w:rsidRDefault="00316414">
      <w:pPr>
        <w:spacing w:before="80"/>
        <w:rPr>
          <w:rFonts w:ascii="Times New Roman" w:hAnsi="Times New Roman" w:cs="Times New Roman"/>
          <w:sz w:val="24"/>
          <w:szCs w:val="24"/>
        </w:rPr>
      </w:pPr>
      <w:r w:rsidRPr="003D5FA7">
        <w:rPr>
          <w:rFonts w:ascii="Times New Roman" w:eastAsia="Consolas" w:hAnsi="Times New Roman" w:cs="Times New Roman"/>
          <w:sz w:val="24"/>
          <w:szCs w:val="24"/>
        </w:rPr>
        <w:t>AgendarCita</w:t>
      </w:r>
      <w:r w:rsidRPr="003D5FA7">
        <w:rPr>
          <w:rFonts w:ascii="Times New Roman" w:hAnsi="Times New Roman" w:cs="Times New Roman"/>
          <w:sz w:val="24"/>
          <w:szCs w:val="24"/>
        </w:rPr>
        <w:t xml:space="preserve"> concentra casi toda la complejidad de la clase, lo que respalda el diagnóstico de God Class que LCOM96b, por sí sola, no logra reflejar. Este conteo puede contrastarse con «Calcular métricas de código» de Visual Studio.</w:t>
      </w:r>
    </w:p>
    <w:p w14:paraId="354DBB72"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7. Fase 3 — Comparación Antes vs. D</w:t>
      </w:r>
      <w:r w:rsidRPr="003D5FA7">
        <w:rPr>
          <w:rFonts w:ascii="Times New Roman" w:hAnsi="Times New Roman" w:cs="Times New Roman"/>
          <w:sz w:val="24"/>
          <w:szCs w:val="24"/>
        </w:rPr>
        <w:t>espués</w:t>
      </w:r>
    </w:p>
    <w:p w14:paraId="021CC708"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La columna «Antes» contiene la línea base. La columna «Después» se completará una vez definido el diseño de </w:t>
      </w:r>
      <w:r w:rsidRPr="003D5FA7">
        <w:rPr>
          <w:rFonts w:ascii="Times New Roman" w:eastAsia="Consolas" w:hAnsi="Times New Roman" w:cs="Times New Roman"/>
          <w:sz w:val="24"/>
          <w:szCs w:val="24"/>
        </w:rPr>
        <w:t>DentalCare.Refactored</w:t>
      </w:r>
      <w:r w:rsidRPr="003D5FA7">
        <w:rPr>
          <w:rFonts w:ascii="Times New Roman" w:hAnsi="Times New Roman" w:cs="Times New Roman"/>
          <w:sz w:val="24"/>
          <w:szCs w:val="24"/>
        </w:rPr>
        <w:t>, aplicando los mismos criterios de medición de la sección 6.1.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100"/>
        <w:gridCol w:w="3160"/>
      </w:tblGrid>
      <w:tr w:rsidR="005B071D" w:rsidRPr="003D5FA7" w14:paraId="29176A9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50C1D61"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Métrica</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CCFD0CE"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Antes (Legacy)</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B8A5304"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Después (Refactored)</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49F94AB"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b/>
                <w:bCs/>
                <w:color w:val="FFFFFF"/>
                <w:sz w:val="24"/>
                <w:szCs w:val="24"/>
              </w:rPr>
              <w:t>Lectura espe</w:t>
            </w:r>
            <w:r w:rsidRPr="003D5FA7">
              <w:rPr>
                <w:rFonts w:ascii="Times New Roman" w:hAnsi="Times New Roman" w:cs="Times New Roman"/>
                <w:b/>
                <w:bCs/>
                <w:color w:val="FFFFFF"/>
                <w:sz w:val="24"/>
                <w:szCs w:val="24"/>
              </w:rPr>
              <w:t>rada</w:t>
            </w:r>
          </w:p>
        </w:tc>
      </w:tr>
      <w:tr w:rsidR="005B071D" w:rsidRPr="003D5FA7" w14:paraId="24BBB1A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620B0A"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LCOM96b</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64E37B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0,50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1BCC42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Por calcular</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1BDADA7"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Menor por clase (cada clase con una sola responsabilidad).</w:t>
            </w:r>
          </w:p>
        </w:tc>
      </w:tr>
      <w:tr w:rsidR="005B071D" w:rsidRPr="003D5FA7" w14:paraId="70A9737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F9BDA71"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Ca</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917FB6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814ED9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Por calcular</w:t>
            </w:r>
          </w:p>
        </w:tc>
        <w:tc>
          <w:tcPr>
            <w:tcW w:w="3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5EBC31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w:t>
            </w:r>
          </w:p>
        </w:tc>
      </w:tr>
      <w:tr w:rsidR="005B071D" w:rsidRPr="003D5FA7" w14:paraId="0B8B5E0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FBFC27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lastRenderedPageBreak/>
              <w:t>Ce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A955E5F"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52535A"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Por calcular</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5492AB"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Menor y dirigido hacia abstracciones.</w:t>
            </w:r>
          </w:p>
        </w:tc>
      </w:tr>
      <w:tr w:rsidR="005B071D" w:rsidRPr="003D5FA7" w14:paraId="7DC7F2F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CA3C779"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I</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2287A59"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0,833</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5EA78E1"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Por calcular</w:t>
            </w:r>
          </w:p>
        </w:tc>
        <w:tc>
          <w:tcPr>
            <w:tcW w:w="3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F2C33B2"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w:t>
            </w:r>
          </w:p>
        </w:tc>
      </w:tr>
      <w:tr w:rsidR="005B071D" w:rsidRPr="003D5FA7" w14:paraId="7907167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AC14D50"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A</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BFF6DD"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6E5F6B"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Por calcular</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C4F4B43"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Mayor: aparecen interfaces y abstracciones.</w:t>
            </w:r>
          </w:p>
        </w:tc>
      </w:tr>
      <w:tr w:rsidR="005B071D" w:rsidRPr="003D5FA7" w14:paraId="2A28E07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FF4C35F"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D</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BF7D095"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0,167</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D099907" w14:textId="77777777" w:rsidR="005B071D" w:rsidRPr="003D5FA7" w:rsidRDefault="00316414">
            <w:pPr>
              <w:spacing w:after="40"/>
              <w:jc w:val="center"/>
              <w:rPr>
                <w:rFonts w:ascii="Times New Roman" w:hAnsi="Times New Roman" w:cs="Times New Roman"/>
                <w:sz w:val="24"/>
                <w:szCs w:val="24"/>
              </w:rPr>
            </w:pPr>
            <w:r w:rsidRPr="003D5FA7">
              <w:rPr>
                <w:rFonts w:ascii="Times New Roman" w:hAnsi="Times New Roman" w:cs="Times New Roman"/>
                <w:sz w:val="24"/>
                <w:szCs w:val="24"/>
              </w:rPr>
              <w:t>Por calcular</w:t>
            </w:r>
          </w:p>
        </w:tc>
        <w:tc>
          <w:tcPr>
            <w:tcW w:w="3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4408486" w14:textId="77777777" w:rsidR="005B071D" w:rsidRPr="003D5FA7" w:rsidRDefault="00316414">
            <w:pPr>
              <w:spacing w:after="40"/>
              <w:rPr>
                <w:rFonts w:ascii="Times New Roman" w:hAnsi="Times New Roman" w:cs="Times New Roman"/>
                <w:sz w:val="24"/>
                <w:szCs w:val="24"/>
              </w:rPr>
            </w:pPr>
            <w:r w:rsidRPr="003D5FA7">
              <w:rPr>
                <w:rFonts w:ascii="Times New Roman" w:hAnsi="Times New Roman" w:cs="Times New Roman"/>
                <w:sz w:val="24"/>
                <w:szCs w:val="24"/>
              </w:rPr>
              <w:t>Debe mantenerse baja o mejorar en cada componente.</w:t>
            </w:r>
          </w:p>
        </w:tc>
      </w:tr>
    </w:tbl>
    <w:p w14:paraId="7D393D7A" w14:textId="77777777" w:rsidR="005B071D" w:rsidRPr="003D5FA7" w:rsidRDefault="005B071D">
      <w:pPr>
        <w:spacing w:after="120"/>
        <w:rPr>
          <w:rFonts w:ascii="Times New Roman" w:hAnsi="Times New Roman" w:cs="Times New Roman"/>
          <w:sz w:val="24"/>
          <w:szCs w:val="24"/>
        </w:rPr>
      </w:pPr>
    </w:p>
    <w:p w14:paraId="17F86D41" w14:textId="77777777" w:rsidR="005B071D" w:rsidRPr="003D5FA7" w:rsidRDefault="00316414">
      <w:pPr>
        <w:spacing w:after="120" w:line="276" w:lineRule="auto"/>
        <w:rPr>
          <w:rFonts w:ascii="Times New Roman" w:hAnsi="Times New Roman" w:cs="Times New Roman"/>
          <w:sz w:val="24"/>
          <w:szCs w:val="24"/>
        </w:rPr>
      </w:pPr>
      <w:r w:rsidRPr="003D5FA7">
        <w:rPr>
          <w:rFonts w:ascii="Times New Roman" w:hAnsi="Times New Roman" w:cs="Times New Roman"/>
          <w:sz w:val="24"/>
          <w:szCs w:val="24"/>
        </w:rPr>
        <w:t xml:space="preserve">Como el gestor ya tiene un D bajo, la mejora cuantitativa se argumentará </w:t>
      </w:r>
      <w:r w:rsidRPr="003D5FA7">
        <w:rPr>
          <w:rFonts w:ascii="Times New Roman" w:hAnsi="Times New Roman" w:cs="Times New Roman"/>
          <w:b/>
          <w:bCs/>
          <w:sz w:val="24"/>
          <w:szCs w:val="24"/>
        </w:rPr>
        <w:t>por componente</w:t>
      </w:r>
      <w:r w:rsidRPr="003D5FA7">
        <w:rPr>
          <w:rFonts w:ascii="Times New Roman" w:hAnsi="Times New Roman" w:cs="Times New Roman"/>
          <w:sz w:val="24"/>
          <w:szCs w:val="24"/>
        </w:rPr>
        <w:t xml:space="preserve"> (cada clase resultante) y con Ce, LCOM96b y A, no solo con D del gestor original.</w:t>
      </w:r>
    </w:p>
    <w:p w14:paraId="30841AE0"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8. Pendientes por completar</w:t>
      </w:r>
    </w:p>
    <w:p w14:paraId="5707C90F"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Fase 2 — Refactorización:</w:t>
      </w:r>
      <w:r w:rsidRPr="003D5FA7">
        <w:rPr>
          <w:rFonts w:ascii="Times New Roman" w:hAnsi="Times New Roman" w:cs="Times New Roman"/>
          <w:sz w:val="24"/>
          <w:szCs w:val="24"/>
        </w:rPr>
        <w:t xml:space="preserve"> definir la estructura de </w:t>
      </w:r>
      <w:r w:rsidRPr="003D5FA7">
        <w:rPr>
          <w:rFonts w:ascii="Times New Roman" w:eastAsia="Consolas" w:hAnsi="Times New Roman" w:cs="Times New Roman"/>
          <w:sz w:val="24"/>
          <w:szCs w:val="24"/>
        </w:rPr>
        <w:t>DentalC</w:t>
      </w:r>
      <w:r w:rsidRPr="003D5FA7">
        <w:rPr>
          <w:rFonts w:ascii="Times New Roman" w:eastAsia="Consolas" w:hAnsi="Times New Roman" w:cs="Times New Roman"/>
          <w:sz w:val="24"/>
          <w:szCs w:val="24"/>
        </w:rPr>
        <w:t>are.Refactored</w:t>
      </w:r>
      <w:r w:rsidRPr="003D5FA7">
        <w:rPr>
          <w:rFonts w:ascii="Times New Roman" w:hAnsi="Times New Roman" w:cs="Times New Roman"/>
          <w:sz w:val="24"/>
          <w:szCs w:val="24"/>
        </w:rPr>
        <w:t xml:space="preserve"> (abstracciones de persistencia y notificación, reglas de tarifa por especialidad y convenio, política de cancelación, composición de dependencias).</w:t>
      </w:r>
    </w:p>
    <w:p w14:paraId="60B91B70"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Fase 3:</w:t>
      </w:r>
      <w:r w:rsidRPr="003D5FA7">
        <w:rPr>
          <w:rFonts w:ascii="Times New Roman" w:hAnsi="Times New Roman" w:cs="Times New Roman"/>
          <w:sz w:val="24"/>
          <w:szCs w:val="24"/>
        </w:rPr>
        <w:t xml:space="preserve"> completar la columna «Después» con el desarrollo matemático de cada métrica.</w:t>
      </w:r>
    </w:p>
    <w:p w14:paraId="385E9378"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Fase 4 —</w:t>
      </w:r>
      <w:r w:rsidRPr="003D5FA7">
        <w:rPr>
          <w:rFonts w:ascii="Times New Roman" w:hAnsi="Times New Roman" w:cs="Times New Roman"/>
          <w:b/>
          <w:bCs/>
          <w:sz w:val="24"/>
          <w:szCs w:val="24"/>
        </w:rPr>
        <w:t xml:space="preserve"> ADR-001:</w:t>
      </w:r>
      <w:r w:rsidRPr="003D5FA7">
        <w:rPr>
          <w:rFonts w:ascii="Times New Roman" w:hAnsi="Times New Roman" w:cs="Times New Roman"/>
          <w:sz w:val="24"/>
          <w:szCs w:val="24"/>
        </w:rPr>
        <w:t xml:space="preserve"> inversión de dependencias para persistencia y notificaciones.</w:t>
      </w:r>
    </w:p>
    <w:p w14:paraId="1F4C3F22"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b/>
          <w:bCs/>
          <w:sz w:val="24"/>
          <w:szCs w:val="24"/>
        </w:rPr>
        <w:t>Fase 4 — ADR-002:</w:t>
      </w:r>
      <w:r w:rsidRPr="003D5FA7">
        <w:rPr>
          <w:rFonts w:ascii="Times New Roman" w:hAnsi="Times New Roman" w:cs="Times New Roman"/>
          <w:sz w:val="24"/>
          <w:szCs w:val="24"/>
        </w:rPr>
        <w:t xml:space="preserve"> ajuste de políticas de cancelación y tarifas.</w:t>
      </w:r>
    </w:p>
    <w:p w14:paraId="4B1EBB57"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Incluir en cada ADR: estado, fecha, autores, contexto (ASRs), decisión, consecuencias/trade-offs, cumplimiento y trazabi</w:t>
      </w:r>
      <w:r w:rsidRPr="003D5FA7">
        <w:rPr>
          <w:rFonts w:ascii="Times New Roman" w:hAnsi="Times New Roman" w:cs="Times New Roman"/>
          <w:sz w:val="24"/>
          <w:szCs w:val="24"/>
        </w:rPr>
        <w:t>lidad con ISO/IEC/IEEE 42010:2022.</w:t>
      </w:r>
    </w:p>
    <w:p w14:paraId="7505D716"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 xml:space="preserve">Revisar los dos puntos marcados «A validar»: fórmula de D y posible error de sintaxis en </w:t>
      </w:r>
      <w:r w:rsidRPr="003D5FA7">
        <w:rPr>
          <w:rFonts w:ascii="Times New Roman" w:eastAsia="Consolas" w:hAnsi="Times New Roman" w:cs="Times New Roman"/>
          <w:sz w:val="24"/>
          <w:szCs w:val="24"/>
        </w:rPr>
        <w:t>Cita.cs</w:t>
      </w:r>
      <w:r w:rsidRPr="003D5FA7">
        <w:rPr>
          <w:rFonts w:ascii="Times New Roman" w:hAnsi="Times New Roman" w:cs="Times New Roman"/>
          <w:sz w:val="24"/>
          <w:szCs w:val="24"/>
        </w:rPr>
        <w:t>.</w:t>
      </w:r>
    </w:p>
    <w:p w14:paraId="7C196910" w14:textId="77777777" w:rsidR="005B071D" w:rsidRPr="003D5FA7" w:rsidRDefault="00316414">
      <w:pPr>
        <w:pStyle w:val="Ttulo1"/>
        <w:rPr>
          <w:rFonts w:ascii="Times New Roman" w:hAnsi="Times New Roman" w:cs="Times New Roman"/>
          <w:sz w:val="24"/>
          <w:szCs w:val="24"/>
        </w:rPr>
      </w:pPr>
      <w:r w:rsidRPr="003D5FA7">
        <w:rPr>
          <w:rFonts w:ascii="Times New Roman" w:hAnsi="Times New Roman" w:cs="Times New Roman"/>
          <w:sz w:val="24"/>
          <w:szCs w:val="24"/>
        </w:rPr>
        <w:t>9. Referencias</w:t>
      </w:r>
    </w:p>
    <w:p w14:paraId="75E0979A"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Martin, R. C. (2008). *Clean Code: A Handbook of Agile Software Craftsmanship*. Prentice Hall.</w:t>
      </w:r>
    </w:p>
    <w:p w14:paraId="4424D479"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Bass, L., Clements, P., &amp; Kazman, R. (2021). *Software Architecture in Practice* (4th ed.). Addison-Wesley.</w:t>
      </w:r>
    </w:p>
    <w:p w14:paraId="53F80497"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Richards, M., &amp; Ford, N. (2021). *Fundamentals of Software Architecture: An Engineering Approach*. O'Reilly Media.</w:t>
      </w:r>
    </w:p>
    <w:p w14:paraId="6CD4FE80"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ISO/IEC/IEEE 42010:2022. *Systems</w:t>
      </w:r>
      <w:r w:rsidRPr="003D5FA7">
        <w:rPr>
          <w:rFonts w:ascii="Times New Roman" w:hAnsi="Times New Roman" w:cs="Times New Roman"/>
          <w:sz w:val="24"/>
          <w:szCs w:val="24"/>
        </w:rPr>
        <w:t xml:space="preserve"> and Software Engineering — Architecture Description*.</w:t>
      </w:r>
    </w:p>
    <w:p w14:paraId="4234790C"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lastRenderedPageBreak/>
        <w:t>Institución Universitaria ITM (2024). *Microdiseño Curricular: Arquitectura de Software I (FDE 058)*.</w:t>
      </w:r>
    </w:p>
    <w:p w14:paraId="7214A7A2" w14:textId="77777777" w:rsidR="005B071D" w:rsidRPr="003D5FA7" w:rsidRDefault="00316414">
      <w:pPr>
        <w:pStyle w:val="Prrafodelista"/>
        <w:numPr>
          <w:ilvl w:val="0"/>
          <w:numId w:val="2"/>
        </w:numPr>
        <w:spacing w:after="60" w:line="276" w:lineRule="auto"/>
        <w:rPr>
          <w:rFonts w:ascii="Times New Roman" w:hAnsi="Times New Roman" w:cs="Times New Roman"/>
          <w:sz w:val="24"/>
          <w:szCs w:val="24"/>
        </w:rPr>
      </w:pPr>
      <w:r w:rsidRPr="003D5FA7">
        <w:rPr>
          <w:rFonts w:ascii="Times New Roman" w:hAnsi="Times New Roman" w:cs="Times New Roman"/>
          <w:sz w:val="24"/>
          <w:szCs w:val="24"/>
        </w:rPr>
        <w:t>Material de clase: SOLID (Módulos I y II), Clase 14 (ADRs) y Clase 15 (Diseño sostenible y métricas</w:t>
      </w:r>
      <w:r w:rsidRPr="003D5FA7">
        <w:rPr>
          <w:rFonts w:ascii="Times New Roman" w:hAnsi="Times New Roman" w:cs="Times New Roman"/>
          <w:sz w:val="24"/>
          <w:szCs w:val="24"/>
        </w:rPr>
        <w:t>).</w:t>
      </w:r>
    </w:p>
    <w:sectPr w:rsidR="005B071D" w:rsidRPr="003D5FA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32E8D" w14:textId="77777777" w:rsidR="00316414" w:rsidRDefault="00316414">
      <w:r>
        <w:separator/>
      </w:r>
    </w:p>
  </w:endnote>
  <w:endnote w:type="continuationSeparator" w:id="0">
    <w:p w14:paraId="7575D010" w14:textId="77777777" w:rsidR="00316414" w:rsidRDefault="00316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650E" w14:textId="730F3A95" w:rsidR="005B071D" w:rsidRDefault="005B071D" w:rsidP="003D5FA7">
    <w:pPr>
      <w:rPr>
        <w:color w:val="7F7F7F"/>
        <w:sz w:val="16"/>
        <w:szCs w:val="16"/>
      </w:rPr>
    </w:pPr>
  </w:p>
  <w:p w14:paraId="2A4766C8" w14:textId="77777777" w:rsidR="003D5FA7" w:rsidRDefault="003D5FA7" w:rsidP="003D5F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DD6A0" w14:textId="77777777" w:rsidR="00316414" w:rsidRDefault="00316414">
      <w:r>
        <w:separator/>
      </w:r>
    </w:p>
  </w:footnote>
  <w:footnote w:type="continuationSeparator" w:id="0">
    <w:p w14:paraId="4D0154B6" w14:textId="77777777" w:rsidR="00316414" w:rsidRDefault="00316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323B5"/>
    <w:multiLevelType w:val="hybridMultilevel"/>
    <w:tmpl w:val="237E0666"/>
    <w:lvl w:ilvl="0" w:tplc="D56E9DC4">
      <w:start w:val="1"/>
      <w:numFmt w:val="bullet"/>
      <w:lvlText w:val="•"/>
      <w:lvlJc w:val="left"/>
      <w:pPr>
        <w:ind w:left="720" w:hanging="360"/>
      </w:pPr>
    </w:lvl>
    <w:lvl w:ilvl="1" w:tplc="06C638D4">
      <w:numFmt w:val="decimal"/>
      <w:lvlText w:val=""/>
      <w:lvlJc w:val="left"/>
    </w:lvl>
    <w:lvl w:ilvl="2" w:tplc="748A5BBC">
      <w:numFmt w:val="decimal"/>
      <w:lvlText w:val=""/>
      <w:lvlJc w:val="left"/>
    </w:lvl>
    <w:lvl w:ilvl="3" w:tplc="921CEA40">
      <w:numFmt w:val="decimal"/>
      <w:lvlText w:val=""/>
      <w:lvlJc w:val="left"/>
    </w:lvl>
    <w:lvl w:ilvl="4" w:tplc="3C669218">
      <w:numFmt w:val="decimal"/>
      <w:lvlText w:val=""/>
      <w:lvlJc w:val="left"/>
    </w:lvl>
    <w:lvl w:ilvl="5" w:tplc="04EAC182">
      <w:numFmt w:val="decimal"/>
      <w:lvlText w:val=""/>
      <w:lvlJc w:val="left"/>
    </w:lvl>
    <w:lvl w:ilvl="6" w:tplc="20E66D82">
      <w:numFmt w:val="decimal"/>
      <w:lvlText w:val=""/>
      <w:lvlJc w:val="left"/>
    </w:lvl>
    <w:lvl w:ilvl="7" w:tplc="88FA5D76">
      <w:numFmt w:val="decimal"/>
      <w:lvlText w:val=""/>
      <w:lvlJc w:val="left"/>
    </w:lvl>
    <w:lvl w:ilvl="8" w:tplc="F8BA9C1A">
      <w:numFmt w:val="decimal"/>
      <w:lvlText w:val=""/>
      <w:lvlJc w:val="left"/>
    </w:lvl>
  </w:abstractNum>
  <w:abstractNum w:abstractNumId="1" w15:restartNumberingAfterBreak="0">
    <w:nsid w:val="6A881F78"/>
    <w:multiLevelType w:val="hybridMultilevel"/>
    <w:tmpl w:val="F02A0648"/>
    <w:lvl w:ilvl="0" w:tplc="5DF873AA">
      <w:start w:val="1"/>
      <w:numFmt w:val="bullet"/>
      <w:lvlText w:val="●"/>
      <w:lvlJc w:val="left"/>
      <w:pPr>
        <w:ind w:left="720" w:hanging="360"/>
      </w:pPr>
    </w:lvl>
    <w:lvl w:ilvl="1" w:tplc="B304394A">
      <w:start w:val="1"/>
      <w:numFmt w:val="bullet"/>
      <w:lvlText w:val="○"/>
      <w:lvlJc w:val="left"/>
      <w:pPr>
        <w:ind w:left="1440" w:hanging="360"/>
      </w:pPr>
    </w:lvl>
    <w:lvl w:ilvl="2" w:tplc="56961B28">
      <w:start w:val="1"/>
      <w:numFmt w:val="bullet"/>
      <w:lvlText w:val="■"/>
      <w:lvlJc w:val="left"/>
      <w:pPr>
        <w:ind w:left="2160" w:hanging="360"/>
      </w:pPr>
    </w:lvl>
    <w:lvl w:ilvl="3" w:tplc="24C86C2C">
      <w:start w:val="1"/>
      <w:numFmt w:val="bullet"/>
      <w:lvlText w:val="●"/>
      <w:lvlJc w:val="left"/>
      <w:pPr>
        <w:ind w:left="2880" w:hanging="360"/>
      </w:pPr>
    </w:lvl>
    <w:lvl w:ilvl="4" w:tplc="3C9207A8">
      <w:start w:val="1"/>
      <w:numFmt w:val="bullet"/>
      <w:lvlText w:val="○"/>
      <w:lvlJc w:val="left"/>
      <w:pPr>
        <w:ind w:left="3600" w:hanging="360"/>
      </w:pPr>
    </w:lvl>
    <w:lvl w:ilvl="5" w:tplc="172673DA">
      <w:start w:val="1"/>
      <w:numFmt w:val="bullet"/>
      <w:lvlText w:val="■"/>
      <w:lvlJc w:val="left"/>
      <w:pPr>
        <w:ind w:left="4320" w:hanging="360"/>
      </w:pPr>
    </w:lvl>
    <w:lvl w:ilvl="6" w:tplc="EE34F7D6">
      <w:start w:val="1"/>
      <w:numFmt w:val="bullet"/>
      <w:lvlText w:val="●"/>
      <w:lvlJc w:val="left"/>
      <w:pPr>
        <w:ind w:left="5040" w:hanging="360"/>
      </w:pPr>
    </w:lvl>
    <w:lvl w:ilvl="7" w:tplc="59C8E6EA">
      <w:start w:val="1"/>
      <w:numFmt w:val="bullet"/>
      <w:lvlText w:val="●"/>
      <w:lvlJc w:val="left"/>
      <w:pPr>
        <w:ind w:left="5760" w:hanging="360"/>
      </w:pPr>
    </w:lvl>
    <w:lvl w:ilvl="8" w:tplc="5BDED65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71D"/>
    <w:rsid w:val="00316414"/>
    <w:rsid w:val="003D5FA7"/>
    <w:rsid w:val="004D4D7F"/>
    <w:rsid w:val="005B071D"/>
    <w:rsid w:val="00746F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AC48"/>
  <w15:docId w15:val="{BC93CAE8-D1B0-4356-8A24-C330BA1E4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3864"/>
      </w:pBdr>
      <w:spacing w:before="32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F5496"/>
      <w:sz w:val="25"/>
      <w:szCs w:val="25"/>
    </w:rPr>
  </w:style>
  <w:style w:type="paragraph" w:styleId="Ttulo3">
    <w:name w:val="heading 3"/>
    <w:uiPriority w:val="9"/>
    <w:unhideWhenUsed/>
    <w:qFormat/>
    <w:pPr>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D5FA7"/>
    <w:pPr>
      <w:tabs>
        <w:tab w:val="center" w:pos="4419"/>
        <w:tab w:val="right" w:pos="8838"/>
      </w:tabs>
    </w:pPr>
  </w:style>
  <w:style w:type="character" w:customStyle="1" w:styleId="EncabezadoCar">
    <w:name w:val="Encabezado Car"/>
    <w:basedOn w:val="Fuentedeprrafopredeter"/>
    <w:link w:val="Encabezado"/>
    <w:uiPriority w:val="99"/>
    <w:rsid w:val="003D5FA7"/>
  </w:style>
  <w:style w:type="paragraph" w:styleId="Piedepgina">
    <w:name w:val="footer"/>
    <w:basedOn w:val="Normal"/>
    <w:link w:val="PiedepginaCar"/>
    <w:uiPriority w:val="99"/>
    <w:unhideWhenUsed/>
    <w:rsid w:val="003D5FA7"/>
    <w:pPr>
      <w:tabs>
        <w:tab w:val="center" w:pos="4419"/>
        <w:tab w:val="right" w:pos="8838"/>
      </w:tabs>
    </w:pPr>
  </w:style>
  <w:style w:type="character" w:customStyle="1" w:styleId="PiedepginaCar">
    <w:name w:val="Pie de página Car"/>
    <w:basedOn w:val="Fuentedeprrafopredeter"/>
    <w:link w:val="Piedepgina"/>
    <w:uiPriority w:val="99"/>
    <w:rsid w:val="003D5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2876</Words>
  <Characters>15823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Informe de Métricas — DentaCare</vt:lpstr>
    </vt:vector>
  </TitlesOfParts>
  <Company/>
  <LinksUpToDate>false</LinksUpToDate>
  <CharactersWithSpaces>18662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Métricas — DentaCare</dc:title>
  <dc:creator>Arquitectura de Software I</dc:creator>
  <cp:lastModifiedBy>JUAN JOSE  MEDINA SEPULVEDA</cp:lastModifiedBy>
  <cp:revision>13</cp:revision>
  <dcterms:created xsi:type="dcterms:W3CDTF">2026-09-30T13:37:00Z</dcterms:created>
  <dcterms:modified xsi:type="dcterms:W3CDTF">2026-09-30T14:59:00Z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64f3c46268e4f993e65761c4a59cebe52c1f77a530a29a8f3c640e0417785444</vt:lpwstr>
  </property>
</Properties>
</file>