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r>
        <w:rPr>
          <w:rFonts w:ascii="Aptos" w:hAnsi="Aptos"/>
          <w:b/>
          <w:color w:val="FF4F18"/>
          <w:sz w:val="20"/>
        </w:rPr>
        <w:t>METERWISE</w:t>
      </w:r>
    </w:p>
    <w:p>
      <w:pPr>
        <w:pStyle w:val="Title"/>
        <w:jc w:val="left"/>
      </w:pPr>
      <w:r>
        <w:rPr>
          <w:rFonts w:ascii="Aptos Display" w:hAnsi="Aptos Display"/>
          <w:b/>
          <w:color w:val="00101F"/>
          <w:sz w:val="58"/>
        </w:rPr>
        <w:t>Koersdocument Meterwise</w:t>
      </w:r>
    </w:p>
    <w:p>
      <w:pPr>
        <w:spacing w:after="520"/>
      </w:pPr>
      <w:r>
        <w:rPr>
          <w:rFonts w:ascii="Aptos" w:hAnsi="Aptos"/>
          <w:color w:val="001D3F"/>
          <w:sz w:val="28"/>
        </w:rPr>
        <w:t>Waar Meterwise voor staat, voor wie we bestaan en hoe we van AI-onzekerheid naar aantoonbare beheersing gaan.</w:t>
      </w:r>
    </w:p>
    <w:tbl>
      <w:tblPr>
        <w:tblW w:type="auto" w:w="0"/>
        <w:jc w:val="left"/>
        <w:tblLook w:firstColumn="1" w:firstRow="1" w:lastColumn="0" w:lastRow="0" w:noHBand="0" w:noVBand="1" w:val="04A0"/>
      </w:tblPr>
      <w:tblGrid>
        <w:gridCol w:w="9878"/>
      </w:tblGrid>
      <w:tr>
        <w:tc>
          <w:tcPr>
            <w:tcW w:type="dxa" w:w="1800"/>
            <w:shd w:fill="FF4F18"/>
          </w:tcPr>
          <w:p>
            <w:r/>
          </w:p>
        </w:tc>
      </w:tr>
    </w:tbl>
    <w:p>
      <w:pPr>
        <w:spacing w:before="520"/>
      </w:pPr>
      <w:r>
        <w:rPr>
          <w:rFonts w:ascii="Aptos" w:hAnsi="Aptos"/>
          <w:color w:val="6B7280"/>
          <w:sz w:val="19"/>
        </w:rPr>
        <w:t>Versie 1.0  |  Intern gebruik  |  22 juli 2026</w:t>
      </w:r>
    </w:p>
    <w:p>
      <w:r>
        <w:br w:type="page"/>
      </w:r>
    </w:p>
    <w:p>
      <w:pPr>
        <w:pStyle w:val="Heading1"/>
      </w:pPr>
      <w:r>
        <w:t>1. De kern in één pagina</w:t>
      </w:r>
    </w:p>
    <w:tbl>
      <w:tblPr>
        <w:tblW w:type="auto" w:w="0"/>
        <w:jc w:val="center"/>
        <w:tblLayout w:type="autofit"/>
        <w:tblLook w:firstColumn="1" w:firstRow="1" w:lastColumn="0" w:lastRow="0" w:noHBand="0" w:noVBand="1" w:val="04A0"/>
      </w:tblPr>
      <w:tblGrid>
        <w:gridCol w:w="9878"/>
      </w:tblGrid>
      <w:tr>
        <w:tc>
          <w:tcPr>
            <w:tcW w:type="dxa" w:w="9878"/>
            <w:shd w:fill="FFF2EC"/>
            <w:tcMar>
              <w:top w:w="180" w:type="dxa"/>
              <w:start w:w="220" w:type="dxa"/>
              <w:bottom w:w="180" w:type="dxa"/>
              <w:end w:w="220" w:type="dxa"/>
            </w:tcMar>
          </w:tcPr>
          <w:p>
            <w:pPr>
              <w:jc w:val="left"/>
            </w:pPr>
            <w:r>
              <w:rPr>
                <w:rFonts w:ascii="Aptos" w:hAnsi="Aptos"/>
                <w:b/>
                <w:color w:val="001D3F"/>
                <w:sz w:val="22"/>
              </w:rPr>
              <w:t>Meterwise maakt AI binnen organisaties zichtbaar, beheersbaar en aantoonbaar. Certificering kan een bestemming zijn, maar governance is het product.</w:t>
            </w:r>
          </w:p>
        </w:tc>
      </w:tr>
    </w:tbl>
    <w:p/>
    <w:p>
      <w:r>
        <w:t>Meterwise helpt organisaties die AI gebruiken of ontwikkelen om overzicht te krijgen, risico’s te begrijpen, verantwoordelijkheden vast te leggen en praktische beheersmaatregelen in te richten. De instap is bewust laagdrempelig: een AI Governance Scan. Vanuit die scan kan een klant doorgroeien naar implementatie, onderhoud van het AI-managementsysteem en eventueel ISO/IEC 42001-readiness.</w:t>
      </w:r>
    </w:p>
    <w:p>
      <w:r>
        <w:t>De onderneming verkoopt dus niet primair een norm of een certificaat. Meterwise verkoopt grip. De norm ISO/IEC 42001 is een belangrijk referentiekader omdat deze eisen stelt aan het opzetten, implementeren, onderhouden en continu verbeteren van een AI-managementsysteem. De officiële certificering blijft bij een onafhankelijke certificerende instelling.</w:t>
      </w:r>
    </w:p>
    <w:p>
      <w:pPr>
        <w:pStyle w:val="Heading2"/>
      </w:pPr>
      <w:r>
        <w:t>De north star</w:t>
      </w:r>
    </w:p>
    <w:p>
      <w:pPr>
        <w:pStyle w:val="ListBullet"/>
        <w:ind w:left="288" w:hanging="173"/>
      </w:pPr>
      <w:r>
        <w:rPr>
          <w:rFonts w:ascii="Aptos" w:hAnsi="Aptos"/>
          <w:color w:val="00101F"/>
          <w:sz w:val="20"/>
        </w:rPr>
        <w:t>Een klant moet na een Meterwise-traject weten welke AI wordt gebruikt, waarvoor, door wie en met welke risico’s.</w:t>
      </w:r>
    </w:p>
    <w:p>
      <w:pPr>
        <w:pStyle w:val="ListBullet"/>
        <w:ind w:left="288" w:hanging="173"/>
      </w:pPr>
      <w:r>
        <w:rPr>
          <w:rFonts w:ascii="Aptos" w:hAnsi="Aptos"/>
          <w:color w:val="00101F"/>
          <w:sz w:val="20"/>
        </w:rPr>
        <w:t>Een klant moet kunnen aantonen welke keuzes, controles en verantwoordelijkheden rond AI zijn ingericht.</w:t>
      </w:r>
    </w:p>
    <w:p>
      <w:pPr>
        <w:pStyle w:val="ListBullet"/>
        <w:ind w:left="288" w:hanging="173"/>
      </w:pPr>
      <w:r>
        <w:rPr>
          <w:rFonts w:ascii="Aptos" w:hAnsi="Aptos"/>
          <w:color w:val="00101F"/>
          <w:sz w:val="20"/>
        </w:rPr>
        <w:t>De aanpak moet werkbaar zijn voor medewerkers en management, niet alleen bruikbaar tijdens een audit.</w:t>
      </w:r>
    </w:p>
    <w:p>
      <w:pPr>
        <w:pStyle w:val="ListBullet"/>
        <w:ind w:left="288" w:hanging="173"/>
      </w:pPr>
      <w:r>
        <w:rPr>
          <w:rFonts w:ascii="Aptos" w:hAnsi="Aptos"/>
          <w:color w:val="00101F"/>
          <w:sz w:val="20"/>
        </w:rPr>
        <w:t>Meterwise doet geen uitspraken die certificering garanderen en positioneert zich niet als certificerende instelling.</w:t>
      </w:r>
    </w:p>
    <w:p>
      <w:pPr>
        <w:pStyle w:val="ListBullet"/>
        <w:ind w:left="288" w:hanging="173"/>
      </w:pPr>
      <w:r>
        <w:rPr>
          <w:rFonts w:ascii="Aptos" w:hAnsi="Aptos"/>
          <w:color w:val="00101F"/>
          <w:sz w:val="20"/>
        </w:rPr>
        <w:t>Software wordt pas gebouwd nadat terugkerende klantproblemen door echte scans en implementaties zijn gevalideerd.</w:t>
      </w:r>
    </w:p>
    <w:p>
      <w:pPr>
        <w:pStyle w:val="Heading1"/>
      </w:pPr>
      <w:r>
        <w:t>2. Waarom Meterwise bestaat</w:t>
      </w:r>
    </w:p>
    <w:p>
      <w:r>
        <w:t>AI is sneller onderdeel geworden van dagelijkse bedrijfsvoering dan governanceprocessen zich hebben ontwikkeld. Medewerkers gebruiken generatieve AI, softwareleveranciers voegen AI-functionaliteit toe en managementteams willen innovatie benutten. Daarbij ontstaan vragen over data, verantwoordelijkheid, leveranciers, menselijke controle, risico’s en bewijs.</w:t>
      </w:r>
    </w:p>
    <w:p>
      <w:r>
        <w:t>De commerciële opening voor Meterwise ontstaat in de ruimte tussen technisch AI-gebruik en bestuurlijke beheersing. Veel organisaties hebben losse regels of securitymaatregelen, maar nog geen samenhangend beeld van AI-gebruik en AI-risico. Een goed AI-managementsysteem verbindt beleid, processen, mensen, systemen en aantoonbaar bewijs.</w:t>
      </w:r>
    </w:p>
    <w:p>
      <w:pPr>
        <w:pStyle w:val="Heading2"/>
      </w:pPr>
      <w:r>
        <w:t>Externe ontwikkelingen die urgentie geven</w:t>
      </w:r>
    </w:p>
    <w:p>
      <w:pPr>
        <w:pStyle w:val="ListBullet"/>
        <w:ind w:left="288" w:hanging="173"/>
      </w:pPr>
      <w:r>
        <w:rPr>
          <w:rFonts w:ascii="Aptos" w:hAnsi="Aptos"/>
          <w:color w:val="00101F"/>
          <w:sz w:val="20"/>
        </w:rPr>
        <w:t>ISO/IEC 42001:2023 is de internationale managementsysteemnorm voor AI. ISO positioneert de norm voor organisaties van iedere omvang die AI-systemen ontwikkelen, leveren of gebruiken.</w:t>
      </w:r>
    </w:p>
    <w:p>
      <w:pPr>
        <w:pStyle w:val="ListBullet"/>
        <w:ind w:left="288" w:hanging="173"/>
      </w:pPr>
      <w:r>
        <w:rPr>
          <w:rFonts w:ascii="Aptos" w:hAnsi="Aptos"/>
          <w:color w:val="00101F"/>
          <w:sz w:val="20"/>
        </w:rPr>
        <w:t>De EU AI Act bevat een verplichting rond AI-geletterdheid die sinds 2 februari 2025 van toepassing is. Toezicht en handhaving volgen vanaf augustus 2026.</w:t>
      </w:r>
    </w:p>
    <w:p>
      <w:pPr>
        <w:pStyle w:val="ListBullet"/>
        <w:ind w:left="288" w:hanging="173"/>
      </w:pPr>
      <w:r>
        <w:rPr>
          <w:rFonts w:ascii="Aptos" w:hAnsi="Aptos"/>
          <w:color w:val="00101F"/>
          <w:sz w:val="20"/>
        </w:rPr>
        <w:t>In Nederland bestaat inmiddels certificeringsinfrastructuur. De Raad voor Accreditatie maakte in januari 2025 bekend dat BSI en DNV als eerste in Nederland zijn geaccrediteerd voor ISO 42001-certificering.</w:t>
      </w:r>
    </w:p>
    <w:p>
      <w:pPr>
        <w:pStyle w:val="ListBullet"/>
        <w:ind w:left="288" w:hanging="173"/>
      </w:pPr>
      <w:r>
        <w:rPr>
          <w:rFonts w:ascii="Aptos" w:hAnsi="Aptos"/>
          <w:color w:val="00101F"/>
          <w:sz w:val="20"/>
        </w:rPr>
        <w:t>De praktische uitdaging blijft groot: abstracte governance-eisen moeten worden vertaald naar dagelijkse processen, technische controles, rollen en bewijs.</w:t>
      </w:r>
    </w:p>
    <w:p>
      <w:pPr>
        <w:pStyle w:val="Heading1"/>
      </w:pPr>
      <w:r>
        <w:t>3. Welk probleem lossen we op?</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001D3F"/>
            <w:tcMar>
              <w:top w:w="100" w:type="dxa"/>
              <w:start w:w="120" w:type="dxa"/>
              <w:bottom w:w="100" w:type="dxa"/>
              <w:end w:w="120" w:type="dxa"/>
            </w:tcMar>
          </w:tcPr>
          <w:p>
            <w:r>
              <w:rPr>
                <w:rFonts w:ascii="Aptos" w:hAnsi="Aptos"/>
                <w:b/>
                <w:color w:val="FFFFFF"/>
                <w:sz w:val="18"/>
              </w:rPr>
              <w:t>Probleem bij de klant</w:t>
            </w:r>
          </w:p>
        </w:tc>
        <w:tc>
          <w:tcPr>
            <w:tcW w:type="dxa" w:w="3293"/>
            <w:shd w:fill="001D3F"/>
            <w:tcMar>
              <w:top w:w="100" w:type="dxa"/>
              <w:start w:w="120" w:type="dxa"/>
              <w:bottom w:w="100" w:type="dxa"/>
              <w:end w:w="120" w:type="dxa"/>
            </w:tcMar>
          </w:tcPr>
          <w:p>
            <w:r>
              <w:rPr>
                <w:rFonts w:ascii="Aptos" w:hAnsi="Aptos"/>
                <w:b/>
                <w:color w:val="FFFFFF"/>
                <w:sz w:val="18"/>
              </w:rPr>
              <w:t>Gevolg</w:t>
            </w:r>
          </w:p>
        </w:tc>
        <w:tc>
          <w:tcPr>
            <w:tcW w:type="dxa" w:w="3293"/>
            <w:shd w:fill="001D3F"/>
            <w:tcMar>
              <w:top w:w="100" w:type="dxa"/>
              <w:start w:w="120" w:type="dxa"/>
              <w:bottom w:w="100" w:type="dxa"/>
              <w:end w:w="120" w:type="dxa"/>
            </w:tcMar>
          </w:tcPr>
          <w:p>
            <w:r>
              <w:rPr>
                <w:rFonts w:ascii="Aptos" w:hAnsi="Aptos"/>
                <w:b/>
                <w:color w:val="FFFFFF"/>
                <w:sz w:val="18"/>
              </w:rPr>
              <w:t>Wat Meterwise doet</w:t>
            </w:r>
          </w:p>
        </w:tc>
      </w:tr>
      <w:tr>
        <w:tc>
          <w:tcPr>
            <w:tcW w:type="dxa" w:w="3293"/>
            <w:tcMar>
              <w:top w:w="100" w:type="dxa"/>
              <w:start w:w="120" w:type="dxa"/>
              <w:bottom w:w="100" w:type="dxa"/>
              <w:end w:w="120" w:type="dxa"/>
            </w:tcMar>
            <w:vAlign w:val="top"/>
          </w:tcPr>
          <w:p>
            <w:r>
              <w:rPr>
                <w:rFonts w:ascii="Aptos" w:hAnsi="Aptos"/>
                <w:color w:val="00101F"/>
                <w:sz w:val="18"/>
              </w:rPr>
              <w:t>Geen compleet overzicht van AI-tools en AI-systemen</w:t>
            </w:r>
          </w:p>
        </w:tc>
        <w:tc>
          <w:tcPr>
            <w:tcW w:type="dxa" w:w="3293"/>
            <w:tcMar>
              <w:top w:w="100" w:type="dxa"/>
              <w:start w:w="120" w:type="dxa"/>
              <w:bottom w:w="100" w:type="dxa"/>
              <w:end w:w="120" w:type="dxa"/>
            </w:tcMar>
            <w:vAlign w:val="top"/>
          </w:tcPr>
          <w:p>
            <w:r>
              <w:rPr>
                <w:rFonts w:ascii="Aptos" w:hAnsi="Aptos"/>
                <w:color w:val="00101F"/>
                <w:sz w:val="18"/>
              </w:rPr>
              <w:t>Onbekende data- en leveranciersrisico’s</w:t>
            </w:r>
          </w:p>
        </w:tc>
        <w:tc>
          <w:tcPr>
            <w:tcW w:type="dxa" w:w="3293"/>
            <w:tcMar>
              <w:top w:w="100" w:type="dxa"/>
              <w:start w:w="120" w:type="dxa"/>
              <w:bottom w:w="100" w:type="dxa"/>
              <w:end w:w="120" w:type="dxa"/>
            </w:tcMar>
            <w:vAlign w:val="top"/>
          </w:tcPr>
          <w:p>
            <w:r>
              <w:rPr>
                <w:rFonts w:ascii="Aptos" w:hAnsi="Aptos"/>
                <w:color w:val="00101F"/>
                <w:sz w:val="18"/>
              </w:rPr>
              <w:t>AI-inventarisatie en centraal AI-register</w:t>
            </w:r>
          </w:p>
        </w:tc>
      </w:tr>
      <w:tr>
        <w:tc>
          <w:tcPr>
            <w:tcW w:type="dxa" w:w="3293"/>
            <w:tcMar>
              <w:top w:w="100" w:type="dxa"/>
              <w:start w:w="120" w:type="dxa"/>
              <w:bottom w:w="100" w:type="dxa"/>
              <w:end w:w="120" w:type="dxa"/>
            </w:tcMar>
            <w:shd w:fill="F4F5F9"/>
            <w:vAlign w:val="top"/>
          </w:tcPr>
          <w:p>
            <w:r>
              <w:rPr>
                <w:rFonts w:ascii="Aptos" w:hAnsi="Aptos"/>
                <w:color w:val="00101F"/>
                <w:sz w:val="18"/>
              </w:rPr>
              <w:t>Geen duidelijke eigenaar of besluitvorming</w:t>
            </w:r>
          </w:p>
        </w:tc>
        <w:tc>
          <w:tcPr>
            <w:tcW w:type="dxa" w:w="3293"/>
            <w:tcMar>
              <w:top w:w="100" w:type="dxa"/>
              <w:start w:w="120" w:type="dxa"/>
              <w:bottom w:w="100" w:type="dxa"/>
              <w:end w:w="120" w:type="dxa"/>
            </w:tcMar>
            <w:shd w:fill="F4F5F9"/>
            <w:vAlign w:val="top"/>
          </w:tcPr>
          <w:p>
            <w:r>
              <w:rPr>
                <w:rFonts w:ascii="Aptos" w:hAnsi="Aptos"/>
                <w:color w:val="00101F"/>
                <w:sz w:val="18"/>
              </w:rPr>
              <w:t>Verantwoordelijkheid blijft diffuus</w:t>
            </w:r>
          </w:p>
        </w:tc>
        <w:tc>
          <w:tcPr>
            <w:tcW w:type="dxa" w:w="3293"/>
            <w:tcMar>
              <w:top w:w="100" w:type="dxa"/>
              <w:start w:w="120" w:type="dxa"/>
              <w:bottom w:w="100" w:type="dxa"/>
              <w:end w:w="120" w:type="dxa"/>
            </w:tcMar>
            <w:shd w:fill="F4F5F9"/>
            <w:vAlign w:val="top"/>
          </w:tcPr>
          <w:p>
            <w:r>
              <w:rPr>
                <w:rFonts w:ascii="Aptos" w:hAnsi="Aptos"/>
                <w:color w:val="00101F"/>
                <w:sz w:val="18"/>
              </w:rPr>
              <w:t>Governancemodel, rollen en eigenaarschap</w:t>
            </w:r>
          </w:p>
        </w:tc>
      </w:tr>
      <w:tr>
        <w:tc>
          <w:tcPr>
            <w:tcW w:type="dxa" w:w="3293"/>
            <w:tcMar>
              <w:top w:w="100" w:type="dxa"/>
              <w:start w:w="120" w:type="dxa"/>
              <w:bottom w:w="100" w:type="dxa"/>
              <w:end w:w="120" w:type="dxa"/>
            </w:tcMar>
            <w:vAlign w:val="top"/>
          </w:tcPr>
          <w:p>
            <w:r>
              <w:rPr>
                <w:rFonts w:ascii="Aptos" w:hAnsi="Aptos"/>
                <w:color w:val="00101F"/>
                <w:sz w:val="18"/>
              </w:rPr>
              <w:t>Beleid staat los van dagelijkse praktijk</w:t>
            </w:r>
          </w:p>
        </w:tc>
        <w:tc>
          <w:tcPr>
            <w:tcW w:type="dxa" w:w="3293"/>
            <w:tcMar>
              <w:top w:w="100" w:type="dxa"/>
              <w:start w:w="120" w:type="dxa"/>
              <w:bottom w:w="100" w:type="dxa"/>
              <w:end w:w="120" w:type="dxa"/>
            </w:tcMar>
            <w:vAlign w:val="top"/>
          </w:tcPr>
          <w:p>
            <w:r>
              <w:rPr>
                <w:rFonts w:ascii="Aptos" w:hAnsi="Aptos"/>
                <w:color w:val="00101F"/>
                <w:sz w:val="18"/>
              </w:rPr>
              <w:t>Papieren compliance</w:t>
            </w:r>
          </w:p>
        </w:tc>
        <w:tc>
          <w:tcPr>
            <w:tcW w:type="dxa" w:w="3293"/>
            <w:tcMar>
              <w:top w:w="100" w:type="dxa"/>
              <w:start w:w="120" w:type="dxa"/>
              <w:bottom w:w="100" w:type="dxa"/>
              <w:end w:w="120" w:type="dxa"/>
            </w:tcMar>
            <w:vAlign w:val="top"/>
          </w:tcPr>
          <w:p>
            <w:r>
              <w:rPr>
                <w:rFonts w:ascii="Aptos" w:hAnsi="Aptos"/>
                <w:color w:val="00101F"/>
                <w:sz w:val="18"/>
              </w:rPr>
              <w:t>Werkbare procedures, intakeflows en goedkeuringsmomenten</w:t>
            </w:r>
          </w:p>
        </w:tc>
      </w:tr>
      <w:tr>
        <w:tc>
          <w:tcPr>
            <w:tcW w:type="dxa" w:w="3293"/>
            <w:tcMar>
              <w:top w:w="100" w:type="dxa"/>
              <w:start w:w="120" w:type="dxa"/>
              <w:bottom w:w="100" w:type="dxa"/>
              <w:end w:w="120" w:type="dxa"/>
            </w:tcMar>
            <w:shd w:fill="F4F5F9"/>
            <w:vAlign w:val="top"/>
          </w:tcPr>
          <w:p>
            <w:r>
              <w:rPr>
                <w:rFonts w:ascii="Aptos" w:hAnsi="Aptos"/>
                <w:color w:val="00101F"/>
                <w:sz w:val="18"/>
              </w:rPr>
              <w:t>Risico’s worden ad hoc beoordeeld</w:t>
            </w:r>
          </w:p>
        </w:tc>
        <w:tc>
          <w:tcPr>
            <w:tcW w:type="dxa" w:w="3293"/>
            <w:tcMar>
              <w:top w:w="100" w:type="dxa"/>
              <w:start w:w="120" w:type="dxa"/>
              <w:bottom w:w="100" w:type="dxa"/>
              <w:end w:w="120" w:type="dxa"/>
            </w:tcMar>
            <w:shd w:fill="F4F5F9"/>
            <w:vAlign w:val="top"/>
          </w:tcPr>
          <w:p>
            <w:r>
              <w:rPr>
                <w:rFonts w:ascii="Aptos" w:hAnsi="Aptos"/>
                <w:color w:val="00101F"/>
                <w:sz w:val="18"/>
              </w:rPr>
              <w:t>Inconsistente keuzes en onvoldoende bewijs</w:t>
            </w:r>
          </w:p>
        </w:tc>
        <w:tc>
          <w:tcPr>
            <w:tcW w:type="dxa" w:w="3293"/>
            <w:tcMar>
              <w:top w:w="100" w:type="dxa"/>
              <w:start w:w="120" w:type="dxa"/>
              <w:bottom w:w="100" w:type="dxa"/>
              <w:end w:w="120" w:type="dxa"/>
            </w:tcMar>
            <w:shd w:fill="F4F5F9"/>
            <w:vAlign w:val="top"/>
          </w:tcPr>
          <w:p>
            <w:r>
              <w:rPr>
                <w:rFonts w:ascii="Aptos" w:hAnsi="Aptos"/>
                <w:color w:val="00101F"/>
                <w:sz w:val="18"/>
              </w:rPr>
              <w:t>Vaste risico- en impactmethodiek</w:t>
            </w:r>
          </w:p>
        </w:tc>
      </w:tr>
      <w:tr>
        <w:tc>
          <w:tcPr>
            <w:tcW w:type="dxa" w:w="3293"/>
            <w:tcMar>
              <w:top w:w="100" w:type="dxa"/>
              <w:start w:w="120" w:type="dxa"/>
              <w:bottom w:w="100" w:type="dxa"/>
              <w:end w:w="120" w:type="dxa"/>
            </w:tcMar>
            <w:vAlign w:val="top"/>
          </w:tcPr>
          <w:p>
            <w:r>
              <w:rPr>
                <w:rFonts w:ascii="Aptos" w:hAnsi="Aptos"/>
                <w:color w:val="00101F"/>
                <w:sz w:val="18"/>
              </w:rPr>
              <w:t>Geen zicht op technische lifecycle</w:t>
            </w:r>
          </w:p>
        </w:tc>
        <w:tc>
          <w:tcPr>
            <w:tcW w:type="dxa" w:w="3293"/>
            <w:tcMar>
              <w:top w:w="100" w:type="dxa"/>
              <w:start w:w="120" w:type="dxa"/>
              <w:bottom w:w="100" w:type="dxa"/>
              <w:end w:w="120" w:type="dxa"/>
            </w:tcMar>
            <w:vAlign w:val="top"/>
          </w:tcPr>
          <w:p>
            <w:r>
              <w:rPr>
                <w:rFonts w:ascii="Aptos" w:hAnsi="Aptos"/>
                <w:color w:val="00101F"/>
                <w:sz w:val="18"/>
              </w:rPr>
              <w:t>Wijzigingen, fouten en modeldrift zijn slecht traceerbaar</w:t>
            </w:r>
          </w:p>
        </w:tc>
        <w:tc>
          <w:tcPr>
            <w:tcW w:type="dxa" w:w="3293"/>
            <w:tcMar>
              <w:top w:w="100" w:type="dxa"/>
              <w:start w:w="120" w:type="dxa"/>
              <w:bottom w:w="100" w:type="dxa"/>
              <w:end w:w="120" w:type="dxa"/>
            </w:tcMar>
            <w:vAlign w:val="top"/>
          </w:tcPr>
          <w:p>
            <w:r>
              <w:rPr>
                <w:rFonts w:ascii="Aptos" w:hAnsi="Aptos"/>
                <w:color w:val="00101F"/>
                <w:sz w:val="18"/>
              </w:rPr>
              <w:t>Lifecycle-, monitoring- en traceability-checks</w:t>
            </w:r>
          </w:p>
        </w:tc>
      </w:tr>
      <w:tr>
        <w:tc>
          <w:tcPr>
            <w:tcW w:type="dxa" w:w="3293"/>
            <w:tcMar>
              <w:top w:w="100" w:type="dxa"/>
              <w:start w:w="120" w:type="dxa"/>
              <w:bottom w:w="100" w:type="dxa"/>
              <w:end w:w="120" w:type="dxa"/>
            </w:tcMar>
            <w:shd w:fill="F4F5F9"/>
            <w:vAlign w:val="top"/>
          </w:tcPr>
          <w:p>
            <w:r>
              <w:rPr>
                <w:rFonts w:ascii="Aptos" w:hAnsi="Aptos"/>
                <w:color w:val="00101F"/>
                <w:sz w:val="18"/>
              </w:rPr>
              <w:t>Management ziet geen stuurinformatie</w:t>
            </w:r>
          </w:p>
        </w:tc>
        <w:tc>
          <w:tcPr>
            <w:tcW w:type="dxa" w:w="3293"/>
            <w:tcMar>
              <w:top w:w="100" w:type="dxa"/>
              <w:start w:w="120" w:type="dxa"/>
              <w:bottom w:w="100" w:type="dxa"/>
              <w:end w:w="120" w:type="dxa"/>
            </w:tcMar>
            <w:shd w:fill="F4F5F9"/>
            <w:vAlign w:val="top"/>
          </w:tcPr>
          <w:p>
            <w:r>
              <w:rPr>
                <w:rFonts w:ascii="Aptos" w:hAnsi="Aptos"/>
                <w:color w:val="00101F"/>
                <w:sz w:val="18"/>
              </w:rPr>
              <w:t>AI-risico wordt geen bestuurlijk onderwerp</w:t>
            </w:r>
          </w:p>
        </w:tc>
        <w:tc>
          <w:tcPr>
            <w:tcW w:type="dxa" w:w="3293"/>
            <w:tcMar>
              <w:top w:w="100" w:type="dxa"/>
              <w:start w:w="120" w:type="dxa"/>
              <w:bottom w:w="100" w:type="dxa"/>
              <w:end w:w="120" w:type="dxa"/>
            </w:tcMar>
            <w:shd w:fill="F4F5F9"/>
            <w:vAlign w:val="top"/>
          </w:tcPr>
          <w:p>
            <w:r>
              <w:rPr>
                <w:rFonts w:ascii="Aptos" w:hAnsi="Aptos"/>
                <w:color w:val="00101F"/>
                <w:sz w:val="18"/>
              </w:rPr>
              <w:t>Dashboard, KPI’s, management review en actieplan</w:t>
            </w:r>
          </w:p>
        </w:tc>
      </w:tr>
      <w:tr>
        <w:tc>
          <w:tcPr>
            <w:tcW w:type="dxa" w:w="3293"/>
            <w:tcMar>
              <w:top w:w="100" w:type="dxa"/>
              <w:start w:w="120" w:type="dxa"/>
              <w:bottom w:w="100" w:type="dxa"/>
              <w:end w:w="120" w:type="dxa"/>
            </w:tcMar>
            <w:vAlign w:val="top"/>
          </w:tcPr>
          <w:p>
            <w:r>
              <w:rPr>
                <w:rFonts w:ascii="Aptos" w:hAnsi="Aptos"/>
                <w:color w:val="00101F"/>
                <w:sz w:val="18"/>
              </w:rPr>
              <w:t>Wens tot certificering, maar onbekende gaten</w:t>
            </w:r>
          </w:p>
        </w:tc>
        <w:tc>
          <w:tcPr>
            <w:tcW w:type="dxa" w:w="3293"/>
            <w:tcMar>
              <w:top w:w="100" w:type="dxa"/>
              <w:start w:w="120" w:type="dxa"/>
              <w:bottom w:w="100" w:type="dxa"/>
              <w:end w:w="120" w:type="dxa"/>
            </w:tcMar>
            <w:vAlign w:val="top"/>
          </w:tcPr>
          <w:p>
            <w:r>
              <w:rPr>
                <w:rFonts w:ascii="Aptos" w:hAnsi="Aptos"/>
                <w:color w:val="00101F"/>
                <w:sz w:val="18"/>
              </w:rPr>
              <w:t>Dure of mislukte auditvoorbereiding</w:t>
            </w:r>
          </w:p>
        </w:tc>
        <w:tc>
          <w:tcPr>
            <w:tcW w:type="dxa" w:w="3293"/>
            <w:tcMar>
              <w:top w:w="100" w:type="dxa"/>
              <w:start w:w="120" w:type="dxa"/>
              <w:bottom w:w="100" w:type="dxa"/>
              <w:end w:w="120" w:type="dxa"/>
            </w:tcMar>
            <w:vAlign w:val="top"/>
          </w:tcPr>
          <w:p>
            <w:r>
              <w:rPr>
                <w:rFonts w:ascii="Aptos" w:hAnsi="Aptos"/>
                <w:color w:val="00101F"/>
                <w:sz w:val="18"/>
              </w:rPr>
              <w:t>Readiness-matrix, interne audit en pre-audit</w:t>
            </w:r>
          </w:p>
        </w:tc>
      </w:tr>
    </w:tbl>
    <w:p/>
    <w:p>
      <w:pPr>
        <w:pStyle w:val="Heading1"/>
      </w:pPr>
      <w:r>
        <w:t>4. Ideale klant</w:t>
      </w:r>
    </w:p>
    <w:p>
      <w:r>
        <w:t>Meterwise richt zich niet op ieder bedrijf dat ooit ChatGPT heeft geopend. De hoogste kans van slagen zit bij organisaties waar AI direct raakt aan klanten, producten, persoonsgegevens, kritieke processen of zakelijke verkoop.</w:t>
      </w:r>
    </w:p>
    <w:p>
      <w:pPr>
        <w:pStyle w:val="Heading2"/>
      </w:pPr>
      <w:r>
        <w:t>Primaire doelgroepen</w:t>
      </w:r>
    </w:p>
    <w:p>
      <w:pPr>
        <w:pStyle w:val="ListBullet"/>
        <w:ind w:left="288" w:hanging="173"/>
      </w:pPr>
      <w:r>
        <w:rPr>
          <w:rFonts w:ascii="Aptos" w:hAnsi="Aptos"/>
          <w:color w:val="00101F"/>
          <w:sz w:val="20"/>
        </w:rPr>
        <w:t>SaaS- en softwarebedrijven die AI in hun product verwerken.</w:t>
      </w:r>
    </w:p>
    <w:p>
      <w:pPr>
        <w:pStyle w:val="ListBullet"/>
        <w:ind w:left="288" w:hanging="173"/>
      </w:pPr>
      <w:r>
        <w:rPr>
          <w:rFonts w:ascii="Aptos" w:hAnsi="Aptos"/>
          <w:color w:val="00101F"/>
          <w:sz w:val="20"/>
        </w:rPr>
        <w:t>IT-dienstverleners en MSP’s die AI inzetten bij klanten of eigen dienstverlening.</w:t>
      </w:r>
    </w:p>
    <w:p>
      <w:pPr>
        <w:pStyle w:val="ListBullet"/>
        <w:ind w:left="288" w:hanging="173"/>
      </w:pPr>
      <w:r>
        <w:rPr>
          <w:rFonts w:ascii="Aptos" w:hAnsi="Aptos"/>
          <w:color w:val="00101F"/>
          <w:sz w:val="20"/>
        </w:rPr>
        <w:t>HR-tech en recruitmentorganisaties met AI in selectie, matching of analyse.</w:t>
      </w:r>
    </w:p>
    <w:p>
      <w:pPr>
        <w:pStyle w:val="ListBullet"/>
        <w:ind w:left="288" w:hanging="173"/>
      </w:pPr>
      <w:r>
        <w:rPr>
          <w:rFonts w:ascii="Aptos" w:hAnsi="Aptos"/>
          <w:color w:val="00101F"/>
          <w:sz w:val="20"/>
        </w:rPr>
        <w:t>Zorgtechnologie en andere bedrijven die werken met gevoelige of gereguleerde gegevens.</w:t>
      </w:r>
    </w:p>
    <w:p>
      <w:pPr>
        <w:pStyle w:val="ListBullet"/>
        <w:ind w:left="288" w:hanging="173"/>
      </w:pPr>
      <w:r>
        <w:rPr>
          <w:rFonts w:ascii="Aptos" w:hAnsi="Aptos"/>
          <w:color w:val="00101F"/>
          <w:sz w:val="20"/>
        </w:rPr>
        <w:t>Maakbedrijven en industriële organisaties met AI in predictive maintenance, kwaliteitscontrole of procesoptimalisatie.</w:t>
      </w:r>
    </w:p>
    <w:p>
      <w:pPr>
        <w:pStyle w:val="ListBullet"/>
        <w:ind w:left="288" w:hanging="173"/>
      </w:pPr>
      <w:r>
        <w:rPr>
          <w:rFonts w:ascii="Aptos" w:hAnsi="Aptos"/>
          <w:color w:val="00101F"/>
          <w:sz w:val="20"/>
        </w:rPr>
        <w:t>Zakelijke dienstverleners die op grotere schaal generatieve AI gebruiken en aantoonbaar grip willen richting klanten of bestuur.</w:t>
      </w:r>
    </w:p>
    <w:p>
      <w:pPr>
        <w:pStyle w:val="Heading2"/>
      </w:pPr>
      <w:r>
        <w:t>Kenmerken van een goede lead</w:t>
      </w:r>
    </w:p>
    <w:p>
      <w:pPr>
        <w:pStyle w:val="ListBullet"/>
        <w:ind w:left="288" w:hanging="173"/>
      </w:pPr>
      <w:r>
        <w:rPr>
          <w:rFonts w:ascii="Aptos" w:hAnsi="Aptos"/>
          <w:color w:val="00101F"/>
          <w:sz w:val="20"/>
        </w:rPr>
        <w:t>20 tot ongeveer 500 medewerkers.</w:t>
      </w:r>
    </w:p>
    <w:p>
      <w:pPr>
        <w:pStyle w:val="ListBullet"/>
        <w:ind w:left="288" w:hanging="173"/>
      </w:pPr>
      <w:r>
        <w:rPr>
          <w:rFonts w:ascii="Aptos" w:hAnsi="Aptos"/>
          <w:color w:val="00101F"/>
          <w:sz w:val="20"/>
        </w:rPr>
        <w:t>Meerdere AI-tools, of één AI-systeem met serieuze impact.</w:t>
      </w:r>
    </w:p>
    <w:p>
      <w:pPr>
        <w:pStyle w:val="ListBullet"/>
        <w:ind w:left="288" w:hanging="173"/>
      </w:pPr>
      <w:r>
        <w:rPr>
          <w:rFonts w:ascii="Aptos" w:hAnsi="Aptos"/>
          <w:color w:val="00101F"/>
          <w:sz w:val="20"/>
        </w:rPr>
        <w:t>B2B-klanten die security-, privacy- of AI-vragen stellen.</w:t>
      </w:r>
    </w:p>
    <w:p>
      <w:pPr>
        <w:pStyle w:val="ListBullet"/>
        <w:ind w:left="288" w:hanging="173"/>
      </w:pPr>
      <w:r>
        <w:rPr>
          <w:rFonts w:ascii="Aptos" w:hAnsi="Aptos"/>
          <w:color w:val="00101F"/>
          <w:sz w:val="20"/>
        </w:rPr>
        <w:t>Management voelt urgentie, maar heeft nog geen compleet governanceproces.</w:t>
      </w:r>
    </w:p>
    <w:p>
      <w:pPr>
        <w:pStyle w:val="ListBullet"/>
        <w:ind w:left="288" w:hanging="173"/>
      </w:pPr>
      <w:r>
        <w:rPr>
          <w:rFonts w:ascii="Aptos" w:hAnsi="Aptos"/>
          <w:color w:val="00101F"/>
          <w:sz w:val="20"/>
        </w:rPr>
        <w:t>Bestaande volwassenheid rond ISO 27001, privacy of kwaliteitsmanagement is een pluspunt.</w:t>
      </w:r>
    </w:p>
    <w:p>
      <w:pPr>
        <w:pStyle w:val="ListBullet"/>
        <w:ind w:left="288" w:hanging="173"/>
      </w:pPr>
      <w:r>
        <w:rPr>
          <w:rFonts w:ascii="Aptos" w:hAnsi="Aptos"/>
          <w:color w:val="00101F"/>
          <w:sz w:val="20"/>
        </w:rPr>
        <w:t>Er is budget voor risicobeheersing en professionele dienstverlening.</w:t>
      </w:r>
    </w:p>
    <w:p>
      <w:pPr>
        <w:pStyle w:val="Heading1"/>
      </w:pPr>
      <w:r>
        <w:t>5. De productladder</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001D3F"/>
            <w:tcMar>
              <w:top w:w="100" w:type="dxa"/>
              <w:start w:w="120" w:type="dxa"/>
              <w:bottom w:w="100" w:type="dxa"/>
              <w:end w:w="120" w:type="dxa"/>
            </w:tcMar>
          </w:tcPr>
          <w:p>
            <w:r>
              <w:rPr>
                <w:rFonts w:ascii="Aptos" w:hAnsi="Aptos"/>
                <w:b/>
                <w:color w:val="FFFFFF"/>
                <w:sz w:val="18"/>
              </w:rPr>
              <w:t>Product</w:t>
            </w:r>
          </w:p>
        </w:tc>
        <w:tc>
          <w:tcPr>
            <w:tcW w:type="dxa" w:w="2469"/>
            <w:shd w:fill="001D3F"/>
            <w:tcMar>
              <w:top w:w="100" w:type="dxa"/>
              <w:start w:w="120" w:type="dxa"/>
              <w:bottom w:w="100" w:type="dxa"/>
              <w:end w:w="120" w:type="dxa"/>
            </w:tcMar>
          </w:tcPr>
          <w:p>
            <w:r>
              <w:rPr>
                <w:rFonts w:ascii="Aptos" w:hAnsi="Aptos"/>
                <w:b/>
                <w:color w:val="FFFFFF"/>
                <w:sz w:val="18"/>
              </w:rPr>
              <w:t>Doel</w:t>
            </w:r>
          </w:p>
        </w:tc>
        <w:tc>
          <w:tcPr>
            <w:tcW w:type="dxa" w:w="2469"/>
            <w:shd w:fill="001D3F"/>
            <w:tcMar>
              <w:top w:w="100" w:type="dxa"/>
              <w:start w:w="120" w:type="dxa"/>
              <w:bottom w:w="100" w:type="dxa"/>
              <w:end w:w="120" w:type="dxa"/>
            </w:tcMar>
          </w:tcPr>
          <w:p>
            <w:r>
              <w:rPr>
                <w:rFonts w:ascii="Aptos" w:hAnsi="Aptos"/>
                <w:b/>
                <w:color w:val="FFFFFF"/>
                <w:sz w:val="18"/>
              </w:rPr>
              <w:t>Vorm</w:t>
            </w:r>
          </w:p>
        </w:tc>
        <w:tc>
          <w:tcPr>
            <w:tcW w:type="dxa" w:w="2469"/>
            <w:shd w:fill="001D3F"/>
            <w:tcMar>
              <w:top w:w="100" w:type="dxa"/>
              <w:start w:w="120" w:type="dxa"/>
              <w:bottom w:w="100" w:type="dxa"/>
              <w:end w:w="120" w:type="dxa"/>
            </w:tcMar>
          </w:tcPr>
          <w:p>
            <w:r>
              <w:rPr>
                <w:rFonts w:ascii="Aptos" w:hAnsi="Aptos"/>
                <w:b/>
                <w:color w:val="FFFFFF"/>
                <w:sz w:val="18"/>
              </w:rPr>
              <w:t>Prijs-hypothese</w:t>
            </w:r>
          </w:p>
        </w:tc>
      </w:tr>
      <w:tr>
        <w:tc>
          <w:tcPr>
            <w:tcW w:type="dxa" w:w="2469"/>
            <w:tcMar>
              <w:top w:w="100" w:type="dxa"/>
              <w:start w:w="120" w:type="dxa"/>
              <w:bottom w:w="100" w:type="dxa"/>
              <w:end w:w="120" w:type="dxa"/>
            </w:tcMar>
            <w:vAlign w:val="top"/>
          </w:tcPr>
          <w:p>
            <w:r>
              <w:rPr>
                <w:rFonts w:ascii="Aptos" w:hAnsi="Aptos"/>
                <w:color w:val="00101F"/>
                <w:sz w:val="18"/>
              </w:rPr>
              <w:t>AI QuickScan</w:t>
            </w:r>
          </w:p>
        </w:tc>
        <w:tc>
          <w:tcPr>
            <w:tcW w:type="dxa" w:w="2469"/>
            <w:tcMar>
              <w:top w:w="100" w:type="dxa"/>
              <w:start w:w="120" w:type="dxa"/>
              <w:bottom w:w="100" w:type="dxa"/>
              <w:end w:w="120" w:type="dxa"/>
            </w:tcMar>
            <w:vAlign w:val="top"/>
          </w:tcPr>
          <w:p>
            <w:r>
              <w:rPr>
                <w:rFonts w:ascii="Aptos" w:hAnsi="Aptos"/>
                <w:color w:val="00101F"/>
                <w:sz w:val="18"/>
              </w:rPr>
              <w:t>Laagdrempelige eerste spiegel</w:t>
            </w:r>
          </w:p>
        </w:tc>
        <w:tc>
          <w:tcPr>
            <w:tcW w:type="dxa" w:w="2469"/>
            <w:tcMar>
              <w:top w:w="100" w:type="dxa"/>
              <w:start w:w="120" w:type="dxa"/>
              <w:bottom w:w="100" w:type="dxa"/>
              <w:end w:w="120" w:type="dxa"/>
            </w:tcMar>
            <w:vAlign w:val="top"/>
          </w:tcPr>
          <w:p>
            <w:r>
              <w:rPr>
                <w:rFonts w:ascii="Aptos" w:hAnsi="Aptos"/>
                <w:color w:val="00101F"/>
                <w:sz w:val="18"/>
              </w:rPr>
              <w:t>Grotendeels self-service, korte review</w:t>
            </w:r>
          </w:p>
        </w:tc>
        <w:tc>
          <w:tcPr>
            <w:tcW w:type="dxa" w:w="2469"/>
            <w:tcMar>
              <w:top w:w="100" w:type="dxa"/>
              <w:start w:w="120" w:type="dxa"/>
              <w:bottom w:w="100" w:type="dxa"/>
              <w:end w:w="120" w:type="dxa"/>
            </w:tcMar>
            <w:vAlign w:val="top"/>
          </w:tcPr>
          <w:p>
            <w:r>
              <w:rPr>
                <w:rFonts w:ascii="Aptos" w:hAnsi="Aptos"/>
                <w:color w:val="00101F"/>
                <w:sz w:val="18"/>
              </w:rPr>
              <w:t>€495 tot €995</w:t>
            </w:r>
          </w:p>
        </w:tc>
      </w:tr>
      <w:tr>
        <w:tc>
          <w:tcPr>
            <w:tcW w:type="dxa" w:w="2469"/>
            <w:tcMar>
              <w:top w:w="100" w:type="dxa"/>
              <w:start w:w="120" w:type="dxa"/>
              <w:bottom w:w="100" w:type="dxa"/>
              <w:end w:w="120" w:type="dxa"/>
            </w:tcMar>
            <w:shd w:fill="F4F5F9"/>
            <w:vAlign w:val="top"/>
          </w:tcPr>
          <w:p>
            <w:r>
              <w:rPr>
                <w:rFonts w:ascii="Aptos" w:hAnsi="Aptos"/>
                <w:color w:val="00101F"/>
                <w:sz w:val="18"/>
              </w:rPr>
              <w:t>AI Governance Scan</w:t>
            </w:r>
          </w:p>
        </w:tc>
        <w:tc>
          <w:tcPr>
            <w:tcW w:type="dxa" w:w="2469"/>
            <w:tcMar>
              <w:top w:w="100" w:type="dxa"/>
              <w:start w:w="120" w:type="dxa"/>
              <w:bottom w:w="100" w:type="dxa"/>
              <w:end w:w="120" w:type="dxa"/>
            </w:tcMar>
            <w:shd w:fill="F4F5F9"/>
            <w:vAlign w:val="top"/>
          </w:tcPr>
          <w:p>
            <w:r>
              <w:rPr>
                <w:rFonts w:ascii="Aptos" w:hAnsi="Aptos"/>
                <w:color w:val="00101F"/>
                <w:sz w:val="18"/>
              </w:rPr>
              <w:t>Volledig overzicht, risico’s en prioriteiten</w:t>
            </w:r>
          </w:p>
        </w:tc>
        <w:tc>
          <w:tcPr>
            <w:tcW w:type="dxa" w:w="2469"/>
            <w:tcMar>
              <w:top w:w="100" w:type="dxa"/>
              <w:start w:w="120" w:type="dxa"/>
              <w:bottom w:w="100" w:type="dxa"/>
              <w:end w:w="120" w:type="dxa"/>
            </w:tcMar>
            <w:shd w:fill="F4F5F9"/>
            <w:vAlign w:val="top"/>
          </w:tcPr>
          <w:p>
            <w:r>
              <w:rPr>
                <w:rFonts w:ascii="Aptos" w:hAnsi="Aptos"/>
                <w:color w:val="00101F"/>
                <w:sz w:val="18"/>
              </w:rPr>
              <w:t>Vragenlijst, interviews, bewijsreview, rapport</w:t>
            </w:r>
          </w:p>
        </w:tc>
        <w:tc>
          <w:tcPr>
            <w:tcW w:type="dxa" w:w="2469"/>
            <w:tcMar>
              <w:top w:w="100" w:type="dxa"/>
              <w:start w:w="120" w:type="dxa"/>
              <w:bottom w:w="100" w:type="dxa"/>
              <w:end w:w="120" w:type="dxa"/>
            </w:tcMar>
            <w:shd w:fill="F4F5F9"/>
            <w:vAlign w:val="top"/>
          </w:tcPr>
          <w:p>
            <w:r>
              <w:rPr>
                <w:rFonts w:ascii="Aptos" w:hAnsi="Aptos"/>
                <w:color w:val="00101F"/>
                <w:sz w:val="18"/>
              </w:rPr>
              <w:t>€2.000 tot €4.000</w:t>
            </w:r>
          </w:p>
        </w:tc>
      </w:tr>
      <w:tr>
        <w:tc>
          <w:tcPr>
            <w:tcW w:type="dxa" w:w="2469"/>
            <w:tcMar>
              <w:top w:w="100" w:type="dxa"/>
              <w:start w:w="120" w:type="dxa"/>
              <w:bottom w:w="100" w:type="dxa"/>
              <w:end w:w="120" w:type="dxa"/>
            </w:tcMar>
            <w:vAlign w:val="top"/>
          </w:tcPr>
          <w:p>
            <w:r>
              <w:rPr>
                <w:rFonts w:ascii="Aptos" w:hAnsi="Aptos"/>
                <w:color w:val="00101F"/>
                <w:sz w:val="18"/>
              </w:rPr>
              <w:t>AI Governance Implementatie</w:t>
            </w:r>
          </w:p>
        </w:tc>
        <w:tc>
          <w:tcPr>
            <w:tcW w:type="dxa" w:w="2469"/>
            <w:tcMar>
              <w:top w:w="100" w:type="dxa"/>
              <w:start w:w="120" w:type="dxa"/>
              <w:bottom w:w="100" w:type="dxa"/>
              <w:end w:w="120" w:type="dxa"/>
            </w:tcMar>
            <w:vAlign w:val="top"/>
          </w:tcPr>
          <w:p>
            <w:r>
              <w:rPr>
                <w:rFonts w:ascii="Aptos" w:hAnsi="Aptos"/>
                <w:color w:val="00101F"/>
                <w:sz w:val="18"/>
              </w:rPr>
              <w:t>Beleid, processen en controles daadwerkelijk inrichten</w:t>
            </w:r>
          </w:p>
        </w:tc>
        <w:tc>
          <w:tcPr>
            <w:tcW w:type="dxa" w:w="2469"/>
            <w:tcMar>
              <w:top w:w="100" w:type="dxa"/>
              <w:start w:w="120" w:type="dxa"/>
              <w:bottom w:w="100" w:type="dxa"/>
              <w:end w:w="120" w:type="dxa"/>
            </w:tcMar>
            <w:vAlign w:val="top"/>
          </w:tcPr>
          <w:p>
            <w:r>
              <w:rPr>
                <w:rFonts w:ascii="Aptos" w:hAnsi="Aptos"/>
                <w:color w:val="00101F"/>
                <w:sz w:val="18"/>
              </w:rPr>
              <w:t>Workshops en consultancy</w:t>
            </w:r>
          </w:p>
        </w:tc>
        <w:tc>
          <w:tcPr>
            <w:tcW w:type="dxa" w:w="2469"/>
            <w:tcMar>
              <w:top w:w="100" w:type="dxa"/>
              <w:start w:w="120" w:type="dxa"/>
              <w:bottom w:w="100" w:type="dxa"/>
              <w:end w:w="120" w:type="dxa"/>
            </w:tcMar>
            <w:vAlign w:val="top"/>
          </w:tcPr>
          <w:p>
            <w:r>
              <w:rPr>
                <w:rFonts w:ascii="Aptos" w:hAnsi="Aptos"/>
                <w:color w:val="00101F"/>
                <w:sz w:val="18"/>
              </w:rPr>
              <w:t>€5.000 tot €15.000+</w:t>
            </w:r>
          </w:p>
        </w:tc>
      </w:tr>
      <w:tr>
        <w:tc>
          <w:tcPr>
            <w:tcW w:type="dxa" w:w="2469"/>
            <w:tcMar>
              <w:top w:w="100" w:type="dxa"/>
              <w:start w:w="120" w:type="dxa"/>
              <w:bottom w:w="100" w:type="dxa"/>
              <w:end w:w="120" w:type="dxa"/>
            </w:tcMar>
            <w:shd w:fill="F4F5F9"/>
            <w:vAlign w:val="top"/>
          </w:tcPr>
          <w:p>
            <w:r>
              <w:rPr>
                <w:rFonts w:ascii="Aptos" w:hAnsi="Aptos"/>
                <w:color w:val="00101F"/>
                <w:sz w:val="18"/>
              </w:rPr>
              <w:t>ISO/IEC 42001 Readiness</w:t>
            </w:r>
          </w:p>
        </w:tc>
        <w:tc>
          <w:tcPr>
            <w:tcW w:type="dxa" w:w="2469"/>
            <w:tcMar>
              <w:top w:w="100" w:type="dxa"/>
              <w:start w:w="120" w:type="dxa"/>
              <w:bottom w:w="100" w:type="dxa"/>
              <w:end w:w="120" w:type="dxa"/>
            </w:tcMar>
            <w:shd w:fill="F4F5F9"/>
            <w:vAlign w:val="top"/>
          </w:tcPr>
          <w:p>
            <w:r>
              <w:rPr>
                <w:rFonts w:ascii="Aptos" w:hAnsi="Aptos"/>
                <w:color w:val="00101F"/>
                <w:sz w:val="18"/>
              </w:rPr>
              <w:t>Organisatie voorbereiden op externe certificeringsaudit</w:t>
            </w:r>
          </w:p>
        </w:tc>
        <w:tc>
          <w:tcPr>
            <w:tcW w:type="dxa" w:w="2469"/>
            <w:tcMar>
              <w:top w:w="100" w:type="dxa"/>
              <w:start w:w="120" w:type="dxa"/>
              <w:bottom w:w="100" w:type="dxa"/>
              <w:end w:w="120" w:type="dxa"/>
            </w:tcMar>
            <w:shd w:fill="F4F5F9"/>
            <w:vAlign w:val="top"/>
          </w:tcPr>
          <w:p>
            <w:r>
              <w:rPr>
                <w:rFonts w:ascii="Aptos" w:hAnsi="Aptos"/>
                <w:color w:val="00101F"/>
                <w:sz w:val="18"/>
              </w:rPr>
              <w:t>Gap-matrix, interne audit, herstel, audit support</w:t>
            </w:r>
          </w:p>
        </w:tc>
        <w:tc>
          <w:tcPr>
            <w:tcW w:type="dxa" w:w="2469"/>
            <w:tcMar>
              <w:top w:w="100" w:type="dxa"/>
              <w:start w:w="120" w:type="dxa"/>
              <w:bottom w:w="100" w:type="dxa"/>
              <w:end w:w="120" w:type="dxa"/>
            </w:tcMar>
            <w:shd w:fill="F4F5F9"/>
            <w:vAlign w:val="top"/>
          </w:tcPr>
          <w:p>
            <w:r>
              <w:rPr>
                <w:rFonts w:ascii="Aptos" w:hAnsi="Aptos"/>
                <w:color w:val="00101F"/>
                <w:sz w:val="18"/>
              </w:rPr>
              <w:t>€7.500 tot €20.000+</w:t>
            </w:r>
          </w:p>
        </w:tc>
      </w:tr>
      <w:tr>
        <w:tc>
          <w:tcPr>
            <w:tcW w:type="dxa" w:w="2469"/>
            <w:tcMar>
              <w:top w:w="100" w:type="dxa"/>
              <w:start w:w="120" w:type="dxa"/>
              <w:bottom w:w="100" w:type="dxa"/>
              <w:end w:w="120" w:type="dxa"/>
            </w:tcMar>
            <w:vAlign w:val="top"/>
          </w:tcPr>
          <w:p>
            <w:r>
              <w:rPr>
                <w:rFonts w:ascii="Aptos" w:hAnsi="Aptos"/>
                <w:color w:val="00101F"/>
                <w:sz w:val="18"/>
              </w:rPr>
              <w:t>Governance Maintenance</w:t>
            </w:r>
          </w:p>
        </w:tc>
        <w:tc>
          <w:tcPr>
            <w:tcW w:type="dxa" w:w="2469"/>
            <w:tcMar>
              <w:top w:w="100" w:type="dxa"/>
              <w:start w:w="120" w:type="dxa"/>
              <w:bottom w:w="100" w:type="dxa"/>
              <w:end w:w="120" w:type="dxa"/>
            </w:tcMar>
            <w:vAlign w:val="top"/>
          </w:tcPr>
          <w:p>
            <w:r>
              <w:rPr>
                <w:rFonts w:ascii="Aptos" w:hAnsi="Aptos"/>
                <w:color w:val="00101F"/>
                <w:sz w:val="18"/>
              </w:rPr>
              <w:t>Systeem actueel en aantoonbaar houden</w:t>
            </w:r>
          </w:p>
        </w:tc>
        <w:tc>
          <w:tcPr>
            <w:tcW w:type="dxa" w:w="2469"/>
            <w:tcMar>
              <w:top w:w="100" w:type="dxa"/>
              <w:start w:w="120" w:type="dxa"/>
              <w:bottom w:w="100" w:type="dxa"/>
              <w:end w:w="120" w:type="dxa"/>
            </w:tcMar>
            <w:vAlign w:val="top"/>
          </w:tcPr>
          <w:p>
            <w:r>
              <w:rPr>
                <w:rFonts w:ascii="Aptos" w:hAnsi="Aptos"/>
                <w:color w:val="00101F"/>
                <w:sz w:val="18"/>
              </w:rPr>
              <w:t>Periodieke reviews, register, audit en training</w:t>
            </w:r>
          </w:p>
        </w:tc>
        <w:tc>
          <w:tcPr>
            <w:tcW w:type="dxa" w:w="2469"/>
            <w:tcMar>
              <w:top w:w="100" w:type="dxa"/>
              <w:start w:w="120" w:type="dxa"/>
              <w:bottom w:w="100" w:type="dxa"/>
              <w:end w:w="120" w:type="dxa"/>
            </w:tcMar>
            <w:vAlign w:val="top"/>
          </w:tcPr>
          <w:p>
            <w:r>
              <w:rPr>
                <w:rFonts w:ascii="Aptos" w:hAnsi="Aptos"/>
                <w:color w:val="00101F"/>
                <w:sz w:val="18"/>
              </w:rPr>
              <w:t>€500 tot €2.000 per maand</w:t>
            </w:r>
          </w:p>
        </w:tc>
      </w:tr>
    </w:tbl>
    <w:p/>
    <w:p>
      <w:pPr>
        <w:pStyle w:val="Heading1"/>
      </w:pPr>
      <w:r>
        <w:t>6. Het kernproduct: Meterwise AI Governance Scan</w:t>
      </w:r>
    </w:p>
    <w:p>
      <w:r>
        <w:t>De Governance Scan is het kernproduct waarmee Meterwise de markt binnenkomt. Het is concreet genoeg om direct waarde te leveren en breed genoeg om ook klanten te bedienen die nog geen ISO-certificering nastreven.</w:t>
      </w:r>
    </w:p>
    <w:p>
      <w:pPr>
        <w:pStyle w:val="Heading2"/>
      </w:pPr>
      <w:r>
        <w:t>Belofte</w:t>
      </w:r>
    </w:p>
    <w:tbl>
      <w:tblPr>
        <w:tblW w:type="auto" w:w="0"/>
        <w:jc w:val="center"/>
        <w:tblLayout w:type="autofit"/>
        <w:tblLook w:firstColumn="1" w:firstRow="1" w:lastColumn="0" w:lastRow="0" w:noHBand="0" w:noVBand="1" w:val="04A0"/>
      </w:tblPr>
      <w:tblGrid>
        <w:gridCol w:w="9878"/>
      </w:tblGrid>
      <w:tr>
        <w:tc>
          <w:tcPr>
            <w:tcW w:type="dxa" w:w="9878"/>
            <w:shd w:fill="FFF2EC"/>
            <w:tcMar>
              <w:top w:w="180" w:type="dxa"/>
              <w:start w:w="220" w:type="dxa"/>
              <w:bottom w:w="180" w:type="dxa"/>
              <w:end w:w="220" w:type="dxa"/>
            </w:tcMar>
          </w:tcPr>
          <w:p>
            <w:pPr>
              <w:jc w:val="left"/>
            </w:pPr>
            <w:r>
              <w:rPr>
                <w:rFonts w:ascii="Aptos" w:hAnsi="Aptos"/>
                <w:b/>
                <w:color w:val="001D3F"/>
                <w:sz w:val="22"/>
              </w:rPr>
              <w:t>Binnen tien werkdagen inzicht in waar AI wordt gebruikt, welke risico’s prioriteit hebben en wat de organisatie concreet moet regelen om AI aantoonbaar beheerst te gebruiken.</w:t>
            </w:r>
          </w:p>
        </w:tc>
      </w:tr>
    </w:tbl>
    <w:p/>
    <w:p>
      <w:pPr>
        <w:pStyle w:val="Heading2"/>
      </w:pPr>
      <w:r>
        <w:t>De zeven beoordelingsgebieden</w:t>
      </w:r>
    </w:p>
    <w:tbl>
      <w:tblPr>
        <w:tblStyle w:val="TableGrid"/>
        <w:tblW w:type="auto" w:w="0"/>
        <w:jc w:val="center"/>
        <w:tblLook w:firstColumn="1" w:firstRow="1" w:lastColumn="0" w:lastRow="0" w:noHBand="0" w:noVBand="1" w:val="04A0"/>
      </w:tblPr>
      <w:tblGrid>
        <w:gridCol w:w="4939"/>
        <w:gridCol w:w="4939"/>
      </w:tblGrid>
      <w:tr>
        <w:tc>
          <w:tcPr>
            <w:tcW w:type="dxa" w:w="4939"/>
            <w:shd w:fill="001D3F"/>
            <w:tcMar>
              <w:top w:w="100" w:type="dxa"/>
              <w:start w:w="120" w:type="dxa"/>
              <w:bottom w:w="100" w:type="dxa"/>
              <w:end w:w="120" w:type="dxa"/>
            </w:tcMar>
          </w:tcPr>
          <w:p>
            <w:r>
              <w:rPr>
                <w:rFonts w:ascii="Aptos" w:hAnsi="Aptos"/>
                <w:b/>
                <w:color w:val="FFFFFF"/>
                <w:sz w:val="18"/>
              </w:rPr>
              <w:t>Domein</w:t>
            </w:r>
          </w:p>
        </w:tc>
        <w:tc>
          <w:tcPr>
            <w:tcW w:type="dxa" w:w="4939"/>
            <w:shd w:fill="001D3F"/>
            <w:tcMar>
              <w:top w:w="100" w:type="dxa"/>
              <w:start w:w="120" w:type="dxa"/>
              <w:bottom w:w="100" w:type="dxa"/>
              <w:end w:w="120" w:type="dxa"/>
            </w:tcMar>
          </w:tcPr>
          <w:p>
            <w:r>
              <w:rPr>
                <w:rFonts w:ascii="Aptos" w:hAnsi="Aptos"/>
                <w:b/>
                <w:color w:val="FFFFFF"/>
                <w:sz w:val="18"/>
              </w:rPr>
              <w:t>Kernvragen</w:t>
            </w:r>
          </w:p>
        </w:tc>
      </w:tr>
      <w:tr>
        <w:tc>
          <w:tcPr>
            <w:tcW w:type="dxa" w:w="4939"/>
            <w:tcMar>
              <w:top w:w="100" w:type="dxa"/>
              <w:start w:w="120" w:type="dxa"/>
              <w:bottom w:w="100" w:type="dxa"/>
              <w:end w:w="120" w:type="dxa"/>
            </w:tcMar>
            <w:vAlign w:val="top"/>
          </w:tcPr>
          <w:p>
            <w:r>
              <w:rPr>
                <w:rFonts w:ascii="Aptos" w:hAnsi="Aptos"/>
                <w:color w:val="00101F"/>
                <w:sz w:val="18"/>
              </w:rPr>
              <w:t>1. AI-inventarisatie</w:t>
            </w:r>
          </w:p>
        </w:tc>
        <w:tc>
          <w:tcPr>
            <w:tcW w:type="dxa" w:w="4939"/>
            <w:tcMar>
              <w:top w:w="100" w:type="dxa"/>
              <w:start w:w="120" w:type="dxa"/>
              <w:bottom w:w="100" w:type="dxa"/>
              <w:end w:w="120" w:type="dxa"/>
            </w:tcMar>
            <w:vAlign w:val="top"/>
          </w:tcPr>
          <w:p>
            <w:r>
              <w:rPr>
                <w:rFonts w:ascii="Aptos" w:hAnsi="Aptos"/>
                <w:color w:val="00101F"/>
                <w:sz w:val="18"/>
              </w:rPr>
              <w:t>Welke AI-systemen en tools zijn er? Wie gebruikt ze? Waarvoor?</w:t>
            </w:r>
          </w:p>
        </w:tc>
      </w:tr>
      <w:tr>
        <w:tc>
          <w:tcPr>
            <w:tcW w:type="dxa" w:w="4939"/>
            <w:tcMar>
              <w:top w:w="100" w:type="dxa"/>
              <w:start w:w="120" w:type="dxa"/>
              <w:bottom w:w="100" w:type="dxa"/>
              <w:end w:w="120" w:type="dxa"/>
            </w:tcMar>
            <w:shd w:fill="F4F5F9"/>
            <w:vAlign w:val="top"/>
          </w:tcPr>
          <w:p>
            <w:r>
              <w:rPr>
                <w:rFonts w:ascii="Aptos" w:hAnsi="Aptos"/>
                <w:color w:val="00101F"/>
                <w:sz w:val="18"/>
              </w:rPr>
              <w:t>2. Governance</w:t>
            </w:r>
          </w:p>
        </w:tc>
        <w:tc>
          <w:tcPr>
            <w:tcW w:type="dxa" w:w="4939"/>
            <w:tcMar>
              <w:top w:w="100" w:type="dxa"/>
              <w:start w:w="120" w:type="dxa"/>
              <w:bottom w:w="100" w:type="dxa"/>
              <w:end w:w="120" w:type="dxa"/>
            </w:tcMar>
            <w:shd w:fill="F4F5F9"/>
            <w:vAlign w:val="top"/>
          </w:tcPr>
          <w:p>
            <w:r>
              <w:rPr>
                <w:rFonts w:ascii="Aptos" w:hAnsi="Aptos"/>
                <w:color w:val="00101F"/>
                <w:sz w:val="18"/>
              </w:rPr>
              <w:t>Wie is eigenaar? Wie beslist? Welke rollen en escalaties bestaan?</w:t>
            </w:r>
          </w:p>
        </w:tc>
      </w:tr>
      <w:tr>
        <w:tc>
          <w:tcPr>
            <w:tcW w:type="dxa" w:w="4939"/>
            <w:tcMar>
              <w:top w:w="100" w:type="dxa"/>
              <w:start w:w="120" w:type="dxa"/>
              <w:bottom w:w="100" w:type="dxa"/>
              <w:end w:w="120" w:type="dxa"/>
            </w:tcMar>
            <w:vAlign w:val="top"/>
          </w:tcPr>
          <w:p>
            <w:r>
              <w:rPr>
                <w:rFonts w:ascii="Aptos" w:hAnsi="Aptos"/>
                <w:color w:val="00101F"/>
                <w:sz w:val="18"/>
              </w:rPr>
              <w:t>3. Data en privacy</w:t>
            </w:r>
          </w:p>
        </w:tc>
        <w:tc>
          <w:tcPr>
            <w:tcW w:type="dxa" w:w="4939"/>
            <w:tcMar>
              <w:top w:w="100" w:type="dxa"/>
              <w:start w:w="120" w:type="dxa"/>
              <w:bottom w:w="100" w:type="dxa"/>
              <w:end w:w="120" w:type="dxa"/>
            </w:tcMar>
            <w:vAlign w:val="top"/>
          </w:tcPr>
          <w:p>
            <w:r>
              <w:rPr>
                <w:rFonts w:ascii="Aptos" w:hAnsi="Aptos"/>
                <w:color w:val="00101F"/>
                <w:sz w:val="18"/>
              </w:rPr>
              <w:t>Welke data wordt verwerkt? Is vertrouwelijke of persoonsgebonden informatie betrokken?</w:t>
            </w:r>
          </w:p>
        </w:tc>
      </w:tr>
      <w:tr>
        <w:tc>
          <w:tcPr>
            <w:tcW w:type="dxa" w:w="4939"/>
            <w:tcMar>
              <w:top w:w="100" w:type="dxa"/>
              <w:start w:w="120" w:type="dxa"/>
              <w:bottom w:w="100" w:type="dxa"/>
              <w:end w:w="120" w:type="dxa"/>
            </w:tcMar>
            <w:shd w:fill="F4F5F9"/>
            <w:vAlign w:val="top"/>
          </w:tcPr>
          <w:p>
            <w:r>
              <w:rPr>
                <w:rFonts w:ascii="Aptos" w:hAnsi="Aptos"/>
                <w:color w:val="00101F"/>
                <w:sz w:val="18"/>
              </w:rPr>
              <w:t>4. Risico en impact</w:t>
            </w:r>
          </w:p>
        </w:tc>
        <w:tc>
          <w:tcPr>
            <w:tcW w:type="dxa" w:w="4939"/>
            <w:tcMar>
              <w:top w:w="100" w:type="dxa"/>
              <w:start w:w="120" w:type="dxa"/>
              <w:bottom w:w="100" w:type="dxa"/>
              <w:end w:w="120" w:type="dxa"/>
            </w:tcMar>
            <w:shd w:fill="F4F5F9"/>
            <w:vAlign w:val="top"/>
          </w:tcPr>
          <w:p>
            <w:r>
              <w:rPr>
                <w:rFonts w:ascii="Aptos" w:hAnsi="Aptos"/>
                <w:color w:val="00101F"/>
                <w:sz w:val="18"/>
              </w:rPr>
              <w:t>Wat kan fout gaan? Wie of wat kan worden geraakt? Welke maatregelen bestaan?</w:t>
            </w:r>
          </w:p>
        </w:tc>
      </w:tr>
      <w:tr>
        <w:tc>
          <w:tcPr>
            <w:tcW w:type="dxa" w:w="4939"/>
            <w:tcMar>
              <w:top w:w="100" w:type="dxa"/>
              <w:start w:w="120" w:type="dxa"/>
              <w:bottom w:w="100" w:type="dxa"/>
              <w:end w:w="120" w:type="dxa"/>
            </w:tcMar>
            <w:vAlign w:val="top"/>
          </w:tcPr>
          <w:p>
            <w:r>
              <w:rPr>
                <w:rFonts w:ascii="Aptos" w:hAnsi="Aptos"/>
                <w:color w:val="00101F"/>
                <w:sz w:val="18"/>
              </w:rPr>
              <w:t>5. Menselijk toezicht</w:t>
            </w:r>
          </w:p>
        </w:tc>
        <w:tc>
          <w:tcPr>
            <w:tcW w:type="dxa" w:w="4939"/>
            <w:tcMar>
              <w:top w:w="100" w:type="dxa"/>
              <w:start w:w="120" w:type="dxa"/>
              <w:bottom w:w="100" w:type="dxa"/>
              <w:end w:w="120" w:type="dxa"/>
            </w:tcMar>
            <w:vAlign w:val="top"/>
          </w:tcPr>
          <w:p>
            <w:r>
              <w:rPr>
                <w:rFonts w:ascii="Aptos" w:hAnsi="Aptos"/>
                <w:color w:val="00101F"/>
                <w:sz w:val="18"/>
              </w:rPr>
              <w:t>Wanneer kan een mens beoordelen, corrigeren, stoppen of escaleren?</w:t>
            </w:r>
          </w:p>
        </w:tc>
      </w:tr>
      <w:tr>
        <w:tc>
          <w:tcPr>
            <w:tcW w:type="dxa" w:w="4939"/>
            <w:tcMar>
              <w:top w:w="100" w:type="dxa"/>
              <w:start w:w="120" w:type="dxa"/>
              <w:bottom w:w="100" w:type="dxa"/>
              <w:end w:w="120" w:type="dxa"/>
            </w:tcMar>
            <w:shd w:fill="F4F5F9"/>
            <w:vAlign w:val="top"/>
          </w:tcPr>
          <w:p>
            <w:r>
              <w:rPr>
                <w:rFonts w:ascii="Aptos" w:hAnsi="Aptos"/>
                <w:color w:val="00101F"/>
                <w:sz w:val="18"/>
              </w:rPr>
              <w:t>6. Leveranciers en lifecycle</w:t>
            </w:r>
          </w:p>
        </w:tc>
        <w:tc>
          <w:tcPr>
            <w:tcW w:type="dxa" w:w="4939"/>
            <w:tcMar>
              <w:top w:w="100" w:type="dxa"/>
              <w:start w:w="120" w:type="dxa"/>
              <w:bottom w:w="100" w:type="dxa"/>
              <w:end w:w="120" w:type="dxa"/>
            </w:tcMar>
            <w:shd w:fill="F4F5F9"/>
            <w:vAlign w:val="top"/>
          </w:tcPr>
          <w:p>
            <w:r>
              <w:rPr>
                <w:rFonts w:ascii="Aptos" w:hAnsi="Aptos"/>
                <w:color w:val="00101F"/>
                <w:sz w:val="18"/>
              </w:rPr>
              <w:t>Welke derde partijen zijn betrokken? Hoe worden wijzigingen, monitoring en releases beheerst?</w:t>
            </w:r>
          </w:p>
        </w:tc>
      </w:tr>
      <w:tr>
        <w:tc>
          <w:tcPr>
            <w:tcW w:type="dxa" w:w="4939"/>
            <w:tcMar>
              <w:top w:w="100" w:type="dxa"/>
              <w:start w:w="120" w:type="dxa"/>
              <w:bottom w:w="100" w:type="dxa"/>
              <w:end w:w="120" w:type="dxa"/>
            </w:tcMar>
            <w:vAlign w:val="top"/>
          </w:tcPr>
          <w:p>
            <w:r>
              <w:rPr>
                <w:rFonts w:ascii="Aptos" w:hAnsi="Aptos"/>
                <w:color w:val="00101F"/>
                <w:sz w:val="18"/>
              </w:rPr>
              <w:t>7. Kennis, beleid en bewijs</w:t>
            </w:r>
          </w:p>
        </w:tc>
        <w:tc>
          <w:tcPr>
            <w:tcW w:type="dxa" w:w="4939"/>
            <w:tcMar>
              <w:top w:w="100" w:type="dxa"/>
              <w:start w:w="120" w:type="dxa"/>
              <w:bottom w:w="100" w:type="dxa"/>
              <w:end w:w="120" w:type="dxa"/>
            </w:tcMar>
            <w:vAlign w:val="top"/>
          </w:tcPr>
          <w:p>
            <w:r>
              <w:rPr>
                <w:rFonts w:ascii="Aptos" w:hAnsi="Aptos"/>
                <w:color w:val="00101F"/>
                <w:sz w:val="18"/>
              </w:rPr>
              <w:t>Weten medewerkers wat mag? Zijn beslissingen, trainingen en controles aantoonbaar?</w:t>
            </w:r>
          </w:p>
        </w:tc>
      </w:tr>
    </w:tbl>
    <w:p/>
    <w:p>
      <w:pPr>
        <w:pStyle w:val="Heading2"/>
      </w:pPr>
      <w:r>
        <w:t>Werkwijze</w:t>
      </w:r>
    </w:p>
    <w:p>
      <w:pPr>
        <w:pStyle w:val="ListNumber"/>
        <w:ind w:left="360"/>
      </w:pPr>
      <w:r>
        <w:rPr>
          <w:rFonts w:ascii="Aptos" w:hAnsi="Aptos"/>
          <w:color w:val="00101F"/>
          <w:sz w:val="20"/>
        </w:rPr>
        <w:t>Digitale intake en self-assessment door de klant.</w:t>
      </w:r>
    </w:p>
    <w:p>
      <w:pPr>
        <w:pStyle w:val="ListNumber"/>
        <w:ind w:left="360"/>
      </w:pPr>
      <w:r>
        <w:rPr>
          <w:rFonts w:ascii="Aptos" w:hAnsi="Aptos"/>
          <w:color w:val="00101F"/>
          <w:sz w:val="20"/>
        </w:rPr>
        <w:t>Opvragen van relevante bestaande documentatie en leveranciersinformatie.</w:t>
      </w:r>
    </w:p>
    <w:p>
      <w:pPr>
        <w:pStyle w:val="ListNumber"/>
        <w:ind w:left="360"/>
      </w:pPr>
      <w:r>
        <w:rPr>
          <w:rFonts w:ascii="Aptos" w:hAnsi="Aptos"/>
          <w:color w:val="00101F"/>
          <w:sz w:val="20"/>
        </w:rPr>
        <w:t>Interviews met management, IT/security, product/operations en één of meer eindgebruikers.</w:t>
      </w:r>
    </w:p>
    <w:p>
      <w:pPr>
        <w:pStyle w:val="ListNumber"/>
        <w:ind w:left="360"/>
      </w:pPr>
      <w:r>
        <w:rPr>
          <w:rFonts w:ascii="Aptos" w:hAnsi="Aptos"/>
          <w:color w:val="00101F"/>
          <w:sz w:val="20"/>
        </w:rPr>
        <w:t>Opstellen of aanvullen van een centraal AI-register.</w:t>
      </w:r>
    </w:p>
    <w:p>
      <w:pPr>
        <w:pStyle w:val="ListNumber"/>
        <w:ind w:left="360"/>
      </w:pPr>
      <w:r>
        <w:rPr>
          <w:rFonts w:ascii="Aptos" w:hAnsi="Aptos"/>
          <w:color w:val="00101F"/>
          <w:sz w:val="20"/>
        </w:rPr>
        <w:t>Risico- en volwassenheidsbeoordeling per domein en per belangrijke AI-toepassing.</w:t>
      </w:r>
    </w:p>
    <w:p>
      <w:pPr>
        <w:pStyle w:val="ListNumber"/>
        <w:ind w:left="360"/>
      </w:pPr>
      <w:r>
        <w:rPr>
          <w:rFonts w:ascii="Aptos" w:hAnsi="Aptos"/>
          <w:color w:val="00101F"/>
          <w:sz w:val="20"/>
        </w:rPr>
        <w:t>Validatie van claims met bewijs, niet alleen met mondelinge antwoorden.</w:t>
      </w:r>
    </w:p>
    <w:p>
      <w:pPr>
        <w:pStyle w:val="ListNumber"/>
        <w:ind w:left="360"/>
      </w:pPr>
      <w:r>
        <w:rPr>
          <w:rFonts w:ascii="Aptos" w:hAnsi="Aptos"/>
          <w:color w:val="00101F"/>
          <w:sz w:val="20"/>
        </w:rPr>
        <w:t>Managementrapport met score, prioriteiten, quick wins en 90-dagen roadmap.</w:t>
      </w:r>
    </w:p>
    <w:p>
      <w:pPr>
        <w:pStyle w:val="Heading2"/>
      </w:pPr>
      <w:r>
        <w:t>Output</w:t>
      </w:r>
    </w:p>
    <w:p>
      <w:pPr>
        <w:pStyle w:val="ListBullet"/>
        <w:ind w:left="288" w:hanging="173"/>
      </w:pPr>
      <w:r>
        <w:rPr>
          <w:rFonts w:ascii="Aptos" w:hAnsi="Aptos"/>
          <w:color w:val="00101F"/>
          <w:sz w:val="20"/>
        </w:rPr>
        <w:t>AI-register met eigenaar, doel, data, leverancier en risicoprofiel.</w:t>
      </w:r>
    </w:p>
    <w:p>
      <w:pPr>
        <w:pStyle w:val="ListBullet"/>
        <w:ind w:left="288" w:hanging="173"/>
      </w:pPr>
      <w:r>
        <w:rPr>
          <w:rFonts w:ascii="Aptos" w:hAnsi="Aptos"/>
          <w:color w:val="00101F"/>
          <w:sz w:val="20"/>
        </w:rPr>
        <w:t>Governance maturity score met onderbouwing.</w:t>
      </w:r>
    </w:p>
    <w:p>
      <w:pPr>
        <w:pStyle w:val="ListBullet"/>
        <w:ind w:left="288" w:hanging="173"/>
      </w:pPr>
      <w:r>
        <w:rPr>
          <w:rFonts w:ascii="Aptos" w:hAnsi="Aptos"/>
          <w:color w:val="00101F"/>
          <w:sz w:val="20"/>
        </w:rPr>
        <w:t>Toprisico’s en blokkerende tekortkomingen.</w:t>
      </w:r>
    </w:p>
    <w:p>
      <w:pPr>
        <w:pStyle w:val="ListBullet"/>
        <w:ind w:left="288" w:hanging="173"/>
      </w:pPr>
      <w:r>
        <w:rPr>
          <w:rFonts w:ascii="Aptos" w:hAnsi="Aptos"/>
          <w:color w:val="00101F"/>
          <w:sz w:val="20"/>
        </w:rPr>
        <w:t>Concrete 30-, 60- en 90-dagen verbeteracties.</w:t>
      </w:r>
    </w:p>
    <w:p>
      <w:pPr>
        <w:pStyle w:val="ListBullet"/>
        <w:ind w:left="288" w:hanging="173"/>
      </w:pPr>
      <w:r>
        <w:rPr>
          <w:rFonts w:ascii="Aptos" w:hAnsi="Aptos"/>
          <w:color w:val="00101F"/>
          <w:sz w:val="20"/>
        </w:rPr>
        <w:t>Advies of ISO/IEC 42001-readiness op korte termijn zinvol is.</w:t>
      </w:r>
    </w:p>
    <w:p>
      <w:pPr>
        <w:pStyle w:val="ListBullet"/>
        <w:ind w:left="288" w:hanging="173"/>
      </w:pPr>
      <w:r>
        <w:rPr>
          <w:rFonts w:ascii="Aptos" w:hAnsi="Aptos"/>
          <w:color w:val="00101F"/>
          <w:sz w:val="20"/>
        </w:rPr>
        <w:t>Optioneel: managementpresentatie en workshop.</w:t>
      </w:r>
    </w:p>
    <w:p>
      <w:pPr>
        <w:pStyle w:val="Heading1"/>
      </w:pPr>
      <w:r>
        <w:t>7. De Meterwise methodiek</w:t>
      </w:r>
    </w:p>
    <w:p>
      <w:r>
        <w:t>De methodiek moet vanaf het begin reproduceerbaar zijn. Een klant koopt geen losse mening van Juan Meter, maar een consistente manier om AI-governance te beoordelen en te verbeteren.</w:t>
      </w:r>
    </w:p>
    <w:p>
      <w:pPr>
        <w:pStyle w:val="Heading2"/>
      </w:pPr>
      <w:r>
        <w:t>Vier bewijsniveaus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001D3F"/>
            <w:tcMar>
              <w:top w:w="100" w:type="dxa"/>
              <w:start w:w="120" w:type="dxa"/>
              <w:bottom w:w="100" w:type="dxa"/>
              <w:end w:w="120" w:type="dxa"/>
            </w:tcMar>
          </w:tcPr>
          <w:p>
            <w:r>
              <w:rPr>
                <w:rFonts w:ascii="Aptos" w:hAnsi="Aptos"/>
                <w:b/>
                <w:color w:val="FFFFFF"/>
                <w:sz w:val="18"/>
              </w:rPr>
              <w:t>Niveau</w:t>
            </w:r>
          </w:p>
        </w:tc>
        <w:tc>
          <w:tcPr>
            <w:tcW w:type="dxa" w:w="3293"/>
            <w:shd w:fill="001D3F"/>
            <w:tcMar>
              <w:top w:w="100" w:type="dxa"/>
              <w:start w:w="120" w:type="dxa"/>
              <w:bottom w:w="100" w:type="dxa"/>
              <w:end w:w="120" w:type="dxa"/>
            </w:tcMar>
          </w:tcPr>
          <w:p>
            <w:r>
              <w:rPr>
                <w:rFonts w:ascii="Aptos" w:hAnsi="Aptos"/>
                <w:b/>
                <w:color w:val="FFFFFF"/>
                <w:sz w:val="18"/>
              </w:rPr>
              <w:t>Vraag</w:t>
            </w:r>
          </w:p>
        </w:tc>
        <w:tc>
          <w:tcPr>
            <w:tcW w:type="dxa" w:w="3293"/>
            <w:shd w:fill="001D3F"/>
            <w:tcMar>
              <w:top w:w="100" w:type="dxa"/>
              <w:start w:w="120" w:type="dxa"/>
              <w:bottom w:w="100" w:type="dxa"/>
              <w:end w:w="120" w:type="dxa"/>
            </w:tcMar>
          </w:tcPr>
          <w:p>
            <w:r>
              <w:rPr>
                <w:rFonts w:ascii="Aptos" w:hAnsi="Aptos"/>
                <w:b/>
                <w:color w:val="FFFFFF"/>
                <w:sz w:val="18"/>
              </w:rPr>
              <w:t>Voorbeeld</w:t>
            </w:r>
          </w:p>
        </w:tc>
      </w:tr>
      <w:tr>
        <w:tc>
          <w:tcPr>
            <w:tcW w:type="dxa" w:w="3293"/>
            <w:tcMar>
              <w:top w:w="100" w:type="dxa"/>
              <w:start w:w="120" w:type="dxa"/>
              <w:bottom w:w="100" w:type="dxa"/>
              <w:end w:w="120" w:type="dxa"/>
            </w:tcMar>
            <w:vAlign w:val="top"/>
          </w:tcPr>
          <w:p>
            <w:r>
              <w:rPr>
                <w:rFonts w:ascii="Aptos" w:hAnsi="Aptos"/>
                <w:color w:val="00101F"/>
                <w:sz w:val="18"/>
              </w:rPr>
              <w:t>1. Bestaat het?</w:t>
            </w:r>
          </w:p>
        </w:tc>
        <w:tc>
          <w:tcPr>
            <w:tcW w:type="dxa" w:w="3293"/>
            <w:tcMar>
              <w:top w:w="100" w:type="dxa"/>
              <w:start w:w="120" w:type="dxa"/>
              <w:bottom w:w="100" w:type="dxa"/>
              <w:end w:w="120" w:type="dxa"/>
            </w:tcMar>
            <w:vAlign w:val="top"/>
          </w:tcPr>
          <w:p>
            <w:r>
              <w:rPr>
                <w:rFonts w:ascii="Aptos" w:hAnsi="Aptos"/>
                <w:color w:val="00101F"/>
                <w:sz w:val="18"/>
              </w:rPr>
              <w:t>Is er een regel, rol of proces?</w:t>
            </w:r>
          </w:p>
        </w:tc>
        <w:tc>
          <w:tcPr>
            <w:tcW w:type="dxa" w:w="3293"/>
            <w:tcMar>
              <w:top w:w="100" w:type="dxa"/>
              <w:start w:w="120" w:type="dxa"/>
              <w:bottom w:w="100" w:type="dxa"/>
              <w:end w:w="120" w:type="dxa"/>
            </w:tcMar>
            <w:vAlign w:val="top"/>
          </w:tcPr>
          <w:p>
            <w:r>
              <w:rPr>
                <w:rFonts w:ascii="Aptos" w:hAnsi="Aptos"/>
                <w:color w:val="00101F"/>
                <w:sz w:val="18"/>
              </w:rPr>
              <w:t>AI-policy bestaat</w:t>
            </w:r>
          </w:p>
        </w:tc>
      </w:tr>
      <w:tr>
        <w:tc>
          <w:tcPr>
            <w:tcW w:type="dxa" w:w="3293"/>
            <w:tcMar>
              <w:top w:w="100" w:type="dxa"/>
              <w:start w:w="120" w:type="dxa"/>
              <w:bottom w:w="100" w:type="dxa"/>
              <w:end w:w="120" w:type="dxa"/>
            </w:tcMar>
            <w:shd w:fill="F4F5F9"/>
            <w:vAlign w:val="top"/>
          </w:tcPr>
          <w:p>
            <w:r>
              <w:rPr>
                <w:rFonts w:ascii="Aptos" w:hAnsi="Aptos"/>
                <w:color w:val="00101F"/>
                <w:sz w:val="18"/>
              </w:rPr>
              <w:t>2. Is het toegewezen?</w:t>
            </w:r>
          </w:p>
        </w:tc>
        <w:tc>
          <w:tcPr>
            <w:tcW w:type="dxa" w:w="3293"/>
            <w:tcMar>
              <w:top w:w="100" w:type="dxa"/>
              <w:start w:w="120" w:type="dxa"/>
              <w:bottom w:w="100" w:type="dxa"/>
              <w:end w:w="120" w:type="dxa"/>
            </w:tcMar>
            <w:shd w:fill="F4F5F9"/>
            <w:vAlign w:val="top"/>
          </w:tcPr>
          <w:p>
            <w:r>
              <w:rPr>
                <w:rFonts w:ascii="Aptos" w:hAnsi="Aptos"/>
                <w:color w:val="00101F"/>
                <w:sz w:val="18"/>
              </w:rPr>
              <w:t>Is duidelijk wie verantwoordelijk is?</w:t>
            </w:r>
          </w:p>
        </w:tc>
        <w:tc>
          <w:tcPr>
            <w:tcW w:type="dxa" w:w="3293"/>
            <w:tcMar>
              <w:top w:w="100" w:type="dxa"/>
              <w:start w:w="120" w:type="dxa"/>
              <w:bottom w:w="100" w:type="dxa"/>
              <w:end w:w="120" w:type="dxa"/>
            </w:tcMar>
            <w:shd w:fill="F4F5F9"/>
            <w:vAlign w:val="top"/>
          </w:tcPr>
          <w:p>
            <w:r>
              <w:rPr>
                <w:rFonts w:ascii="Aptos" w:hAnsi="Aptos"/>
                <w:color w:val="00101F"/>
                <w:sz w:val="18"/>
              </w:rPr>
              <w:t>AI-eigenaar is benoemd</w:t>
            </w:r>
          </w:p>
        </w:tc>
      </w:tr>
      <w:tr>
        <w:tc>
          <w:tcPr>
            <w:tcW w:type="dxa" w:w="3293"/>
            <w:tcMar>
              <w:top w:w="100" w:type="dxa"/>
              <w:start w:w="120" w:type="dxa"/>
              <w:bottom w:w="100" w:type="dxa"/>
              <w:end w:w="120" w:type="dxa"/>
            </w:tcMar>
            <w:vAlign w:val="top"/>
          </w:tcPr>
          <w:p>
            <w:r>
              <w:rPr>
                <w:rFonts w:ascii="Aptos" w:hAnsi="Aptos"/>
                <w:color w:val="00101F"/>
                <w:sz w:val="18"/>
              </w:rPr>
              <w:t>3. Werkt het?</w:t>
            </w:r>
          </w:p>
        </w:tc>
        <w:tc>
          <w:tcPr>
            <w:tcW w:type="dxa" w:w="3293"/>
            <w:tcMar>
              <w:top w:w="100" w:type="dxa"/>
              <w:start w:w="120" w:type="dxa"/>
              <w:bottom w:w="100" w:type="dxa"/>
              <w:end w:w="120" w:type="dxa"/>
            </w:tcMar>
            <w:vAlign w:val="top"/>
          </w:tcPr>
          <w:p>
            <w:r>
              <w:rPr>
                <w:rFonts w:ascii="Aptos" w:hAnsi="Aptos"/>
                <w:color w:val="00101F"/>
                <w:sz w:val="18"/>
              </w:rPr>
              <w:t>Wordt het proces daadwerkelijk gebruikt?</w:t>
            </w:r>
          </w:p>
        </w:tc>
        <w:tc>
          <w:tcPr>
            <w:tcW w:type="dxa" w:w="3293"/>
            <w:tcMar>
              <w:top w:w="100" w:type="dxa"/>
              <w:start w:w="120" w:type="dxa"/>
              <w:bottom w:w="100" w:type="dxa"/>
              <w:end w:w="120" w:type="dxa"/>
            </w:tcMar>
            <w:vAlign w:val="top"/>
          </w:tcPr>
          <w:p>
            <w:r>
              <w:rPr>
                <w:rFonts w:ascii="Aptos" w:hAnsi="Aptos"/>
                <w:color w:val="00101F"/>
                <w:sz w:val="18"/>
              </w:rPr>
              <w:t>Nieuwe AI-tools doorlopen intake</w:t>
            </w:r>
          </w:p>
        </w:tc>
      </w:tr>
      <w:tr>
        <w:tc>
          <w:tcPr>
            <w:tcW w:type="dxa" w:w="3293"/>
            <w:tcMar>
              <w:top w:w="100" w:type="dxa"/>
              <w:start w:w="120" w:type="dxa"/>
              <w:bottom w:w="100" w:type="dxa"/>
              <w:end w:w="120" w:type="dxa"/>
            </w:tcMar>
            <w:shd w:fill="F4F5F9"/>
            <w:vAlign w:val="top"/>
          </w:tcPr>
          <w:p>
            <w:r>
              <w:rPr>
                <w:rFonts w:ascii="Aptos" w:hAnsi="Aptos"/>
                <w:color w:val="00101F"/>
                <w:sz w:val="18"/>
              </w:rPr>
              <w:t>4. Is het aantoonbaar?</w:t>
            </w:r>
          </w:p>
        </w:tc>
        <w:tc>
          <w:tcPr>
            <w:tcW w:type="dxa" w:w="3293"/>
            <w:tcMar>
              <w:top w:w="100" w:type="dxa"/>
              <w:start w:w="120" w:type="dxa"/>
              <w:bottom w:w="100" w:type="dxa"/>
              <w:end w:w="120" w:type="dxa"/>
            </w:tcMar>
            <w:shd w:fill="F4F5F9"/>
            <w:vAlign w:val="top"/>
          </w:tcPr>
          <w:p>
            <w:r>
              <w:rPr>
                <w:rFonts w:ascii="Aptos" w:hAnsi="Aptos"/>
                <w:color w:val="00101F"/>
                <w:sz w:val="18"/>
              </w:rPr>
              <w:t>Kan de organisatie bewijs laten zien?</w:t>
            </w:r>
          </w:p>
        </w:tc>
        <w:tc>
          <w:tcPr>
            <w:tcW w:type="dxa" w:w="3293"/>
            <w:tcMar>
              <w:top w:w="100" w:type="dxa"/>
              <w:start w:w="120" w:type="dxa"/>
              <w:bottom w:w="100" w:type="dxa"/>
              <w:end w:w="120" w:type="dxa"/>
            </w:tcMar>
            <w:shd w:fill="F4F5F9"/>
            <w:vAlign w:val="top"/>
          </w:tcPr>
          <w:p>
            <w:r>
              <w:rPr>
                <w:rFonts w:ascii="Aptos" w:hAnsi="Aptos"/>
                <w:color w:val="00101F"/>
                <w:sz w:val="18"/>
              </w:rPr>
              <w:t>Besluiten, logs, reviews en acties zijn traceerbaar</w:t>
            </w:r>
          </w:p>
        </w:tc>
      </w:tr>
    </w:tbl>
    <w:p/>
    <w:p>
      <w:pPr>
        <w:pStyle w:val="Heading2"/>
      </w:pPr>
      <w:r>
        <w:t>Lifecycle als onderscheidend element</w:t>
      </w:r>
    </w:p>
    <w:p>
      <w:r>
        <w:t>De in 2026 gepubliceerde manufacturing-paper die als interne kennisbron is gebruikt, laat concreet zien hoe ISO/IEC 42001-gerelateerde eisen kunnen worden vertaald naar lifecycle-controls zoals human oversight, version control, release criteria, performance monitoring, retraining, logging, documentatie en stakeholdercommunicatie. Voor Meterwise is dit vooral relevant bij klanten die zelf AI ontwikkelen of AI in kritieke processen integreren.</w:t>
      </w:r>
    </w:p>
    <w:p>
      <w:pPr>
        <w:pStyle w:val="ListBullet"/>
        <w:ind w:left="288" w:hanging="173"/>
      </w:pPr>
      <w:r>
        <w:rPr>
          <w:rFonts w:ascii="Aptos" w:hAnsi="Aptos"/>
          <w:color w:val="00101F"/>
          <w:sz w:val="20"/>
        </w:rPr>
        <w:t>Vraag niet alleen of beleid bestaat, maar hoe een AI-systeem wordt ontworpen, getest, vrijgegeven, gewijzigd en gemonitord.</w:t>
      </w:r>
    </w:p>
    <w:p>
      <w:pPr>
        <w:pStyle w:val="ListBullet"/>
        <w:ind w:left="288" w:hanging="173"/>
      </w:pPr>
      <w:r>
        <w:rPr>
          <w:rFonts w:ascii="Aptos" w:hAnsi="Aptos"/>
          <w:color w:val="00101F"/>
          <w:sz w:val="20"/>
        </w:rPr>
        <w:t>Vraag niet alleen of risico’s bekend zijn, maar welke technische en organisatorische controles aantoonbaar werken.</w:t>
      </w:r>
    </w:p>
    <w:p>
      <w:pPr>
        <w:pStyle w:val="ListBullet"/>
        <w:ind w:left="288" w:hanging="173"/>
      </w:pPr>
      <w:r>
        <w:rPr>
          <w:rFonts w:ascii="Aptos" w:hAnsi="Aptos"/>
          <w:color w:val="00101F"/>
          <w:sz w:val="20"/>
        </w:rPr>
        <w:t>Gebruik een bewijsbibliotheek zodat iedere beoordeling gekoppeld is aan mogelijke artefacten, zoals logs, trainingsoverzichten, release approvals, risicoanalyses en managementbesluiten.</w:t>
      </w:r>
    </w:p>
    <w:p>
      <w:pPr>
        <w:pStyle w:val="Heading1"/>
      </w:pPr>
      <w:r>
        <w:t>8. De relatie met ISO/IEC 42001</w:t>
      </w:r>
    </w:p>
    <w:p>
      <w:r>
        <w:t>ISO/IEC 42001 is een belangrijk fundament voor Meterwise, maar niet het marketingproduct voor iedere klant. De norm helpt om AI-management systematisch te organiseren volgens een managementsysteembenadering. Meterwise kan klanten voorbereiden op certificering, maar geeft zelf geen certificaat af.</w:t>
      </w:r>
    </w:p>
    <w:p>
      <w:pPr>
        <w:pStyle w:val="Heading2"/>
      </w:pPr>
      <w:r>
        <w:t>Wat Meterwise wel zegt</w:t>
      </w:r>
    </w:p>
    <w:p>
      <w:pPr>
        <w:pStyle w:val="ListBullet"/>
        <w:ind w:left="288" w:hanging="173"/>
      </w:pPr>
      <w:r>
        <w:rPr>
          <w:rFonts w:ascii="Aptos" w:hAnsi="Aptos"/>
          <w:color w:val="00101F"/>
          <w:sz w:val="20"/>
        </w:rPr>
        <w:t>Wij helpen uw organisatie audit-ready te worden.</w:t>
      </w:r>
    </w:p>
    <w:p>
      <w:pPr>
        <w:pStyle w:val="ListBullet"/>
        <w:ind w:left="288" w:hanging="173"/>
      </w:pPr>
      <w:r>
        <w:rPr>
          <w:rFonts w:ascii="Aptos" w:hAnsi="Aptos"/>
          <w:color w:val="00101F"/>
          <w:sz w:val="20"/>
        </w:rPr>
        <w:t>Wij brengen hiaten ten opzichte van het gekozen referentiekader in kaart.</w:t>
      </w:r>
    </w:p>
    <w:p>
      <w:pPr>
        <w:pStyle w:val="ListBullet"/>
        <w:ind w:left="288" w:hanging="173"/>
      </w:pPr>
      <w:r>
        <w:rPr>
          <w:rFonts w:ascii="Aptos" w:hAnsi="Aptos"/>
          <w:color w:val="00101F"/>
          <w:sz w:val="20"/>
        </w:rPr>
        <w:t>Wij richten processen, rollen en bewijs samen met uw organisatie in.</w:t>
      </w:r>
    </w:p>
    <w:p>
      <w:pPr>
        <w:pStyle w:val="ListBullet"/>
        <w:ind w:left="288" w:hanging="173"/>
      </w:pPr>
      <w:r>
        <w:rPr>
          <w:rFonts w:ascii="Aptos" w:hAnsi="Aptos"/>
          <w:color w:val="00101F"/>
          <w:sz w:val="20"/>
        </w:rPr>
        <w:t>Wij kunnen een interne audit of pre-audit voorbereiden en begeleiden.</w:t>
      </w:r>
    </w:p>
    <w:p>
      <w:pPr>
        <w:pStyle w:val="Heading2"/>
      </w:pPr>
      <w:r>
        <w:t>Wat Meterwise niet zegt</w:t>
      </w:r>
    </w:p>
    <w:p>
      <w:pPr>
        <w:pStyle w:val="ListBullet"/>
        <w:ind w:left="288" w:hanging="173"/>
      </w:pPr>
      <w:r>
        <w:rPr>
          <w:rFonts w:ascii="Aptos" w:hAnsi="Aptos"/>
          <w:color w:val="00101F"/>
          <w:sz w:val="20"/>
        </w:rPr>
        <w:t>Wij garanderen dat u ISO/IEC 42001 gecertificeerd wordt.</w:t>
      </w:r>
    </w:p>
    <w:p>
      <w:pPr>
        <w:pStyle w:val="ListBullet"/>
        <w:ind w:left="288" w:hanging="173"/>
      </w:pPr>
      <w:r>
        <w:rPr>
          <w:rFonts w:ascii="Aptos" w:hAnsi="Aptos"/>
          <w:color w:val="00101F"/>
          <w:sz w:val="20"/>
        </w:rPr>
        <w:t>Wij zijn een certificerende instelling.</w:t>
      </w:r>
    </w:p>
    <w:p>
      <w:pPr>
        <w:pStyle w:val="ListBullet"/>
        <w:ind w:left="288" w:hanging="173"/>
      </w:pPr>
      <w:r>
        <w:rPr>
          <w:rFonts w:ascii="Aptos" w:hAnsi="Aptos"/>
          <w:color w:val="00101F"/>
          <w:sz w:val="20"/>
        </w:rPr>
        <w:t>ISO/IEC 42001-certificering betekent automatisch volledige naleving van de EU AI Act.</w:t>
      </w:r>
    </w:p>
    <w:p>
      <w:pPr>
        <w:pStyle w:val="ListBullet"/>
        <w:ind w:left="288" w:hanging="173"/>
      </w:pPr>
      <w:r>
        <w:rPr>
          <w:rFonts w:ascii="Aptos" w:hAnsi="Aptos"/>
          <w:color w:val="00101F"/>
          <w:sz w:val="20"/>
        </w:rPr>
        <w:t>Een template of beleidsdocument is op zichzelf voldoende voor certificering.</w:t>
      </w:r>
    </w:p>
    <w:p>
      <w:pPr>
        <w:pStyle w:val="Heading1"/>
      </w:pPr>
      <w:r>
        <w:t>9. Positionering en USP</w:t>
      </w:r>
    </w:p>
    <w:tbl>
      <w:tblPr>
        <w:tblW w:type="auto" w:w="0"/>
        <w:jc w:val="center"/>
        <w:tblLayout w:type="autofit"/>
        <w:tblLook w:firstColumn="1" w:firstRow="1" w:lastColumn="0" w:lastRow="0" w:noHBand="0" w:noVBand="1" w:val="04A0"/>
      </w:tblPr>
      <w:tblGrid>
        <w:gridCol w:w="9878"/>
      </w:tblGrid>
      <w:tr>
        <w:tc>
          <w:tcPr>
            <w:tcW w:type="dxa" w:w="9878"/>
            <w:shd w:fill="FFF2EC"/>
            <w:tcMar>
              <w:top w:w="180" w:type="dxa"/>
              <w:start w:w="220" w:type="dxa"/>
              <w:bottom w:w="180" w:type="dxa"/>
              <w:end w:w="220" w:type="dxa"/>
            </w:tcMar>
          </w:tcPr>
          <w:p>
            <w:pPr>
              <w:jc w:val="left"/>
            </w:pPr>
            <w:r>
              <w:rPr>
                <w:rFonts w:ascii="Aptos" w:hAnsi="Aptos"/>
                <w:b/>
                <w:color w:val="001D3F"/>
                <w:sz w:val="22"/>
              </w:rPr>
              <w:t>Meterwise verbindt bedrijfskundige governance met de technische werkelijkheid van AI.</w:t>
            </w:r>
          </w:p>
        </w:tc>
      </w:tr>
    </w:tbl>
    <w:p/>
    <w:p>
      <w:r>
        <w:t>Veel aanbieders kunnen beleid schrijven. Veel technische partijen kunnen AI bouwen. Meterwise moet juist sterk worden in de vertaallaag ertussen: wie is verantwoordelijk, welke data en systemen zijn betrokken, welke risico’s ontstaan, welke controles werken en hoe wordt dit bewijsbaar.</w:t>
      </w:r>
    </w:p>
    <w:p>
      <w:pPr>
        <w:pStyle w:val="Heading2"/>
      </w:pPr>
      <w:r>
        <w:t>Kernboodschappen</w:t>
      </w:r>
    </w:p>
    <w:p>
      <w:pPr>
        <w:pStyle w:val="ListBullet"/>
        <w:ind w:left="288" w:hanging="173"/>
      </w:pPr>
      <w:r>
        <w:rPr>
          <w:rFonts w:ascii="Aptos" w:hAnsi="Aptos"/>
          <w:color w:val="00101F"/>
          <w:sz w:val="20"/>
        </w:rPr>
        <w:t>Grip vóór certificering.</w:t>
      </w:r>
    </w:p>
    <w:p>
      <w:pPr>
        <w:pStyle w:val="ListBullet"/>
        <w:ind w:left="288" w:hanging="173"/>
      </w:pPr>
      <w:r>
        <w:rPr>
          <w:rFonts w:ascii="Aptos" w:hAnsi="Aptos"/>
          <w:color w:val="00101F"/>
          <w:sz w:val="20"/>
        </w:rPr>
        <w:t>Van AI-inventarisatie naar bestuurbaar systeem.</w:t>
      </w:r>
    </w:p>
    <w:p>
      <w:pPr>
        <w:pStyle w:val="ListBullet"/>
        <w:ind w:left="288" w:hanging="173"/>
      </w:pPr>
      <w:r>
        <w:rPr>
          <w:rFonts w:ascii="Aptos" w:hAnsi="Aptos"/>
          <w:color w:val="00101F"/>
          <w:sz w:val="20"/>
        </w:rPr>
        <w:t>Praktisch genoeg voor medewerkers, aantoonbaar genoeg voor management en audit.</w:t>
      </w:r>
    </w:p>
    <w:p>
      <w:pPr>
        <w:pStyle w:val="ListBullet"/>
        <w:ind w:left="288" w:hanging="173"/>
      </w:pPr>
      <w:r>
        <w:rPr>
          <w:rFonts w:ascii="Aptos" w:hAnsi="Aptos"/>
          <w:color w:val="00101F"/>
          <w:sz w:val="20"/>
        </w:rPr>
        <w:t>ISO/IEC 42001-ready wanneer dat zakelijk relevant wordt.</w:t>
      </w:r>
    </w:p>
    <w:p>
      <w:pPr>
        <w:pStyle w:val="ListBullet"/>
        <w:ind w:left="288" w:hanging="173"/>
      </w:pPr>
      <w:r>
        <w:rPr>
          <w:rFonts w:ascii="Aptos" w:hAnsi="Aptos"/>
          <w:color w:val="00101F"/>
          <w:sz w:val="20"/>
        </w:rPr>
        <w:t>Geen compliance-theater, maar processen die in de praktijk worden gebruikt.</w:t>
      </w:r>
    </w:p>
    <w:p>
      <w:pPr>
        <w:pStyle w:val="Heading2"/>
      </w:pPr>
      <w:r>
        <w:t>Voorgestelde tagline</w:t>
      </w:r>
    </w:p>
    <w:tbl>
      <w:tblPr>
        <w:tblW w:type="auto" w:w="0"/>
        <w:jc w:val="center"/>
        <w:tblLayout w:type="autofit"/>
        <w:tblLook w:firstColumn="1" w:firstRow="1" w:lastColumn="0" w:lastRow="0" w:noHBand="0" w:noVBand="1" w:val="04A0"/>
      </w:tblPr>
      <w:tblGrid>
        <w:gridCol w:w="9878"/>
      </w:tblGrid>
      <w:tr>
        <w:tc>
          <w:tcPr>
            <w:tcW w:type="dxa" w:w="9878"/>
            <w:shd w:fill="FFF2EC"/>
            <w:tcMar>
              <w:top w:w="180" w:type="dxa"/>
              <w:start w:w="220" w:type="dxa"/>
              <w:bottom w:w="180" w:type="dxa"/>
              <w:end w:w="220" w:type="dxa"/>
            </w:tcMar>
          </w:tcPr>
          <w:p>
            <w:pPr>
              <w:jc w:val="left"/>
            </w:pPr>
            <w:r>
              <w:rPr>
                <w:rFonts w:ascii="Aptos" w:hAnsi="Aptos"/>
                <w:b/>
                <w:color w:val="001D3F"/>
                <w:sz w:val="22"/>
              </w:rPr>
              <w:t>AI beheersbaar. Beslissingen aantoonbaar.</w:t>
            </w:r>
          </w:p>
        </w:tc>
      </w:tr>
    </w:tbl>
    <w:p/>
    <w:p>
      <w:pPr>
        <w:pStyle w:val="Heading1"/>
      </w:pPr>
      <w:r>
        <w:t>10. Go-to-market</w:t>
      </w:r>
    </w:p>
    <w:p>
      <w:r>
        <w:t>Meterwise moet in de eerste fase consultancygedreven blijven. De prioriteit is leren welke problemen bedrijven daadwerkelijk hebben, welke vragen terugkomen en voor welke uitkomsten ze betalen.</w:t>
      </w:r>
    </w:p>
    <w:p>
      <w:pPr>
        <w:pStyle w:val="Heading2"/>
      </w:pPr>
      <w:r>
        <w:t>Eerste verkooproute</w:t>
      </w:r>
    </w:p>
    <w:p>
      <w:pPr>
        <w:spacing w:after="60"/>
        <w:ind w:left="317" w:hanging="259"/>
      </w:pPr>
      <w:r>
        <w:rPr>
          <w:rFonts w:ascii="Aptos" w:hAnsi="Aptos"/>
          <w:sz w:val="20"/>
        </w:rPr>
        <w:t>1. Benader 20 tot 40 bedrijven binnen één duidelijke niche, bijvoorbeeld SaaS en IT-dienstverlening in Noord-Nederland.</w:t>
      </w:r>
    </w:p>
    <w:p>
      <w:pPr>
        <w:spacing w:after="60"/>
        <w:ind w:left="317" w:hanging="259"/>
      </w:pPr>
      <w:r>
        <w:rPr>
          <w:rFonts w:ascii="Aptos" w:hAnsi="Aptos"/>
          <w:sz w:val="20"/>
        </w:rPr>
        <w:t>2. Bied vijf pilot Governance Scans aan tegen een introductieprijs in ruil voor uitgebreide feedback en toestemming om geanonimiseerde leerpunten te gebruiken.</w:t>
      </w:r>
    </w:p>
    <w:p>
      <w:pPr>
        <w:spacing w:after="60"/>
        <w:ind w:left="317" w:hanging="259"/>
      </w:pPr>
      <w:r>
        <w:rPr>
          <w:rFonts w:ascii="Aptos" w:hAnsi="Aptos"/>
          <w:sz w:val="20"/>
        </w:rPr>
        <w:t>3. Meet welke onderdelen de meeste uren vragen en welke output management het meest waardevol vindt.</w:t>
      </w:r>
    </w:p>
    <w:p>
      <w:pPr>
        <w:spacing w:after="60"/>
        <w:ind w:left="317" w:hanging="259"/>
      </w:pPr>
      <w:r>
        <w:rPr>
          <w:rFonts w:ascii="Aptos" w:hAnsi="Aptos"/>
          <w:sz w:val="20"/>
        </w:rPr>
        <w:t>4. Maak van terugkerende werkzaamheden templates, checklists en automatiseringen.</w:t>
      </w:r>
    </w:p>
    <w:p>
      <w:pPr>
        <w:spacing w:after="60"/>
        <w:ind w:left="317" w:hanging="259"/>
      </w:pPr>
      <w:r>
        <w:rPr>
          <w:rFonts w:ascii="Aptos" w:hAnsi="Aptos"/>
          <w:sz w:val="20"/>
        </w:rPr>
        <w:t>5. Verhoog daarna de prijs en kies één primaire niche waarin Meterwise aantoonbare ervaring opbouwt.</w:t>
      </w:r>
    </w:p>
    <w:p>
      <w:pPr>
        <w:spacing w:after="60"/>
        <w:ind w:left="317" w:hanging="259"/>
      </w:pPr>
      <w:r>
        <w:rPr>
          <w:rFonts w:ascii="Aptos" w:hAnsi="Aptos"/>
          <w:sz w:val="20"/>
        </w:rPr>
        <w:t>6. Bouw pas daarna een portal of SaaS-functionaliteit rond het AI-register, acties, bewijs en periodieke reviews.</w:t>
      </w:r>
    </w:p>
    <w:p>
      <w:pPr>
        <w:pStyle w:val="Heading2"/>
      </w:pPr>
      <w:r>
        <w:t>Salesvragen die het probleem openen</w:t>
      </w:r>
    </w:p>
    <w:p>
      <w:pPr>
        <w:pStyle w:val="ListBullet"/>
        <w:ind w:left="288" w:hanging="173"/>
      </w:pPr>
      <w:r>
        <w:rPr>
          <w:rFonts w:ascii="Aptos" w:hAnsi="Aptos"/>
          <w:color w:val="00101F"/>
          <w:sz w:val="20"/>
        </w:rPr>
        <w:t>Kunt u vandaag één overzicht laten zien van alle AI die medewerkers, leveranciers en producten gebruiken?</w:t>
      </w:r>
    </w:p>
    <w:p>
      <w:pPr>
        <w:pStyle w:val="ListBullet"/>
        <w:ind w:left="288" w:hanging="173"/>
      </w:pPr>
      <w:r>
        <w:rPr>
          <w:rFonts w:ascii="Aptos" w:hAnsi="Aptos"/>
          <w:color w:val="00101F"/>
          <w:sz w:val="20"/>
        </w:rPr>
        <w:t>Weet u welke klantdata of bedrijfsinformatie in externe AI-tools terechtkomt?</w:t>
      </w:r>
    </w:p>
    <w:p>
      <w:pPr>
        <w:pStyle w:val="ListBullet"/>
        <w:ind w:left="288" w:hanging="173"/>
      </w:pPr>
      <w:r>
        <w:rPr>
          <w:rFonts w:ascii="Aptos" w:hAnsi="Aptos"/>
          <w:color w:val="00101F"/>
          <w:sz w:val="20"/>
        </w:rPr>
        <w:t>Is per belangrijk AI-systeem duidelijk wie eigenaar is en wie mag besluiten over wijzigingen?</w:t>
      </w:r>
    </w:p>
    <w:p>
      <w:pPr>
        <w:pStyle w:val="ListBullet"/>
        <w:ind w:left="288" w:hanging="173"/>
      </w:pPr>
      <w:r>
        <w:rPr>
          <w:rFonts w:ascii="Aptos" w:hAnsi="Aptos"/>
          <w:color w:val="00101F"/>
          <w:sz w:val="20"/>
        </w:rPr>
        <w:t>Kunt u aan een grote klant aantonen hoe u AI-risico’s beoordeelt en opvolgt?</w:t>
      </w:r>
    </w:p>
    <w:p>
      <w:pPr>
        <w:pStyle w:val="ListBullet"/>
        <w:ind w:left="288" w:hanging="173"/>
      </w:pPr>
      <w:r>
        <w:rPr>
          <w:rFonts w:ascii="Aptos" w:hAnsi="Aptos"/>
          <w:color w:val="00101F"/>
          <w:sz w:val="20"/>
        </w:rPr>
        <w:t>Als morgen een auditor of toezichthouder vraagt hoe AI wordt beheerst, welke bewijsstukken kunt u direct laten zien?</w:t>
      </w:r>
    </w:p>
    <w:p>
      <w:pPr>
        <w:pStyle w:val="Heading1"/>
      </w:pPr>
      <w:r>
        <w:t>11. Wat we eerst moeten valideren</w:t>
      </w:r>
    </w:p>
    <w:p>
      <w:r>
        <w:t>Dit koersdocument bevat bewust commerciële hypotheses. Meterwise moet voorkomen dat aannames als marktfeiten worden behandeld.</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001D3F"/>
            <w:tcMar>
              <w:top w:w="100" w:type="dxa"/>
              <w:start w:w="120" w:type="dxa"/>
              <w:bottom w:w="100" w:type="dxa"/>
              <w:end w:w="120" w:type="dxa"/>
            </w:tcMar>
          </w:tcPr>
          <w:p>
            <w:r>
              <w:rPr>
                <w:rFonts w:ascii="Aptos" w:hAnsi="Aptos"/>
                <w:b/>
                <w:color w:val="FFFFFF"/>
                <w:sz w:val="18"/>
              </w:rPr>
              <w:t>Hypothese</w:t>
            </w:r>
          </w:p>
        </w:tc>
        <w:tc>
          <w:tcPr>
            <w:tcW w:type="dxa" w:w="3293"/>
            <w:shd w:fill="001D3F"/>
            <w:tcMar>
              <w:top w:w="100" w:type="dxa"/>
              <w:start w:w="120" w:type="dxa"/>
              <w:bottom w:w="100" w:type="dxa"/>
              <w:end w:w="120" w:type="dxa"/>
            </w:tcMar>
          </w:tcPr>
          <w:p>
            <w:r>
              <w:rPr>
                <w:rFonts w:ascii="Aptos" w:hAnsi="Aptos"/>
                <w:b/>
                <w:color w:val="FFFFFF"/>
                <w:sz w:val="18"/>
              </w:rPr>
              <w:t>Hoe valideren?</w:t>
            </w:r>
          </w:p>
        </w:tc>
        <w:tc>
          <w:tcPr>
            <w:tcW w:type="dxa" w:w="3293"/>
            <w:shd w:fill="001D3F"/>
            <w:tcMar>
              <w:top w:w="100" w:type="dxa"/>
              <w:start w:w="120" w:type="dxa"/>
              <w:bottom w:w="100" w:type="dxa"/>
              <w:end w:w="120" w:type="dxa"/>
            </w:tcMar>
          </w:tcPr>
          <w:p>
            <w:r>
              <w:rPr>
                <w:rFonts w:ascii="Aptos" w:hAnsi="Aptos"/>
                <w:b/>
                <w:color w:val="FFFFFF"/>
                <w:sz w:val="18"/>
              </w:rPr>
              <w:t>Succescriterium</w:t>
            </w:r>
          </w:p>
        </w:tc>
      </w:tr>
      <w:tr>
        <w:tc>
          <w:tcPr>
            <w:tcW w:type="dxa" w:w="3293"/>
            <w:tcMar>
              <w:top w:w="100" w:type="dxa"/>
              <w:start w:w="120" w:type="dxa"/>
              <w:bottom w:w="100" w:type="dxa"/>
              <w:end w:w="120" w:type="dxa"/>
            </w:tcMar>
            <w:vAlign w:val="top"/>
          </w:tcPr>
          <w:p>
            <w:r>
              <w:rPr>
                <w:rFonts w:ascii="Aptos" w:hAnsi="Aptos"/>
                <w:color w:val="00101F"/>
                <w:sz w:val="18"/>
              </w:rPr>
              <w:t>Bedrijven betalen voor een Governance Scan zonder direct certificeringsdoel</w:t>
            </w:r>
          </w:p>
        </w:tc>
        <w:tc>
          <w:tcPr>
            <w:tcW w:type="dxa" w:w="3293"/>
            <w:tcMar>
              <w:top w:w="100" w:type="dxa"/>
              <w:start w:w="120" w:type="dxa"/>
              <w:bottom w:w="100" w:type="dxa"/>
              <w:end w:w="120" w:type="dxa"/>
            </w:tcMar>
            <w:vAlign w:val="top"/>
          </w:tcPr>
          <w:p>
            <w:r>
              <w:rPr>
                <w:rFonts w:ascii="Aptos" w:hAnsi="Aptos"/>
                <w:color w:val="00101F"/>
                <w:sz w:val="18"/>
              </w:rPr>
              <w:t>10 verkoopgesprekken en 5 betaalde pilots</w:t>
            </w:r>
          </w:p>
        </w:tc>
        <w:tc>
          <w:tcPr>
            <w:tcW w:type="dxa" w:w="3293"/>
            <w:tcMar>
              <w:top w:w="100" w:type="dxa"/>
              <w:start w:w="120" w:type="dxa"/>
              <w:bottom w:w="100" w:type="dxa"/>
              <w:end w:w="120" w:type="dxa"/>
            </w:tcMar>
            <w:vAlign w:val="top"/>
          </w:tcPr>
          <w:p>
            <w:r>
              <w:rPr>
                <w:rFonts w:ascii="Aptos" w:hAnsi="Aptos"/>
                <w:color w:val="00101F"/>
                <w:sz w:val="18"/>
              </w:rPr>
              <w:t>Minimaal 3 klanten noemen overzicht/risico als primaire koopreden</w:t>
            </w:r>
          </w:p>
        </w:tc>
      </w:tr>
      <w:tr>
        <w:tc>
          <w:tcPr>
            <w:tcW w:type="dxa" w:w="3293"/>
            <w:tcMar>
              <w:top w:w="100" w:type="dxa"/>
              <w:start w:w="120" w:type="dxa"/>
              <w:bottom w:w="100" w:type="dxa"/>
              <w:end w:w="120" w:type="dxa"/>
            </w:tcMar>
            <w:shd w:fill="F4F5F9"/>
            <w:vAlign w:val="top"/>
          </w:tcPr>
          <w:p>
            <w:r>
              <w:rPr>
                <w:rFonts w:ascii="Aptos" w:hAnsi="Aptos"/>
                <w:color w:val="00101F"/>
                <w:sz w:val="18"/>
              </w:rPr>
              <w:t>€2.000 tot €4.000 is acceptabel voor midmarket scan</w:t>
            </w:r>
          </w:p>
        </w:tc>
        <w:tc>
          <w:tcPr>
            <w:tcW w:type="dxa" w:w="3293"/>
            <w:tcMar>
              <w:top w:w="100" w:type="dxa"/>
              <w:start w:w="120" w:type="dxa"/>
              <w:bottom w:w="100" w:type="dxa"/>
              <w:end w:w="120" w:type="dxa"/>
            </w:tcMar>
            <w:shd w:fill="F4F5F9"/>
            <w:vAlign w:val="top"/>
          </w:tcPr>
          <w:p>
            <w:r>
              <w:rPr>
                <w:rFonts w:ascii="Aptos" w:hAnsi="Aptos"/>
                <w:color w:val="00101F"/>
                <w:sz w:val="18"/>
              </w:rPr>
              <w:t>Prijs A/B testen bij vergelijkbare leads</w:t>
            </w:r>
          </w:p>
        </w:tc>
        <w:tc>
          <w:tcPr>
            <w:tcW w:type="dxa" w:w="3293"/>
            <w:tcMar>
              <w:top w:w="100" w:type="dxa"/>
              <w:start w:w="120" w:type="dxa"/>
              <w:bottom w:w="100" w:type="dxa"/>
              <w:end w:w="120" w:type="dxa"/>
            </w:tcMar>
            <w:shd w:fill="F4F5F9"/>
            <w:vAlign w:val="top"/>
          </w:tcPr>
          <w:p>
            <w:r>
              <w:rPr>
                <w:rFonts w:ascii="Aptos" w:hAnsi="Aptos"/>
                <w:color w:val="00101F"/>
                <w:sz w:val="18"/>
              </w:rPr>
              <w:t>Minimaal 20% conversie na gekwalificeerde intake</w:t>
            </w:r>
          </w:p>
        </w:tc>
      </w:tr>
      <w:tr>
        <w:tc>
          <w:tcPr>
            <w:tcW w:type="dxa" w:w="3293"/>
            <w:tcMar>
              <w:top w:w="100" w:type="dxa"/>
              <w:start w:w="120" w:type="dxa"/>
              <w:bottom w:w="100" w:type="dxa"/>
              <w:end w:w="120" w:type="dxa"/>
            </w:tcMar>
            <w:vAlign w:val="top"/>
          </w:tcPr>
          <w:p>
            <w:r>
              <w:rPr>
                <w:rFonts w:ascii="Aptos" w:hAnsi="Aptos"/>
                <w:color w:val="00101F"/>
                <w:sz w:val="18"/>
              </w:rPr>
              <w:t>AI-register is een blijvende klantbehoefte</w:t>
            </w:r>
          </w:p>
        </w:tc>
        <w:tc>
          <w:tcPr>
            <w:tcW w:type="dxa" w:w="3293"/>
            <w:tcMar>
              <w:top w:w="100" w:type="dxa"/>
              <w:start w:w="120" w:type="dxa"/>
              <w:bottom w:w="100" w:type="dxa"/>
              <w:end w:w="120" w:type="dxa"/>
            </w:tcMar>
            <w:vAlign w:val="top"/>
          </w:tcPr>
          <w:p>
            <w:r>
              <w:rPr>
                <w:rFonts w:ascii="Aptos" w:hAnsi="Aptos"/>
                <w:color w:val="00101F"/>
                <w:sz w:val="18"/>
              </w:rPr>
              <w:t>Na 60 dagen navragen wat wordt bijgehouden</w:t>
            </w:r>
          </w:p>
        </w:tc>
        <w:tc>
          <w:tcPr>
            <w:tcW w:type="dxa" w:w="3293"/>
            <w:tcMar>
              <w:top w:w="100" w:type="dxa"/>
              <w:start w:w="120" w:type="dxa"/>
              <w:bottom w:w="100" w:type="dxa"/>
              <w:end w:w="120" w:type="dxa"/>
            </w:tcMar>
            <w:vAlign w:val="top"/>
          </w:tcPr>
          <w:p>
            <w:r>
              <w:rPr>
                <w:rFonts w:ascii="Aptos" w:hAnsi="Aptos"/>
                <w:color w:val="00101F"/>
                <w:sz w:val="18"/>
              </w:rPr>
              <w:t>Minimaal 60% wil periodiek onderhoud</w:t>
            </w:r>
          </w:p>
        </w:tc>
      </w:tr>
      <w:tr>
        <w:tc>
          <w:tcPr>
            <w:tcW w:type="dxa" w:w="3293"/>
            <w:tcMar>
              <w:top w:w="100" w:type="dxa"/>
              <w:start w:w="120" w:type="dxa"/>
              <w:bottom w:w="100" w:type="dxa"/>
              <w:end w:w="120" w:type="dxa"/>
            </w:tcMar>
            <w:shd w:fill="F4F5F9"/>
            <w:vAlign w:val="top"/>
          </w:tcPr>
          <w:p>
            <w:r>
              <w:rPr>
                <w:rFonts w:ascii="Aptos" w:hAnsi="Aptos"/>
                <w:color w:val="00101F"/>
                <w:sz w:val="18"/>
              </w:rPr>
              <w:t>ISO 42001 is een upsell, niet de beste opener</w:t>
            </w:r>
          </w:p>
        </w:tc>
        <w:tc>
          <w:tcPr>
            <w:tcW w:type="dxa" w:w="3293"/>
            <w:tcMar>
              <w:top w:w="100" w:type="dxa"/>
              <w:start w:w="120" w:type="dxa"/>
              <w:bottom w:w="100" w:type="dxa"/>
              <w:end w:w="120" w:type="dxa"/>
            </w:tcMar>
            <w:shd w:fill="F4F5F9"/>
            <w:vAlign w:val="top"/>
          </w:tcPr>
          <w:p>
            <w:r>
              <w:rPr>
                <w:rFonts w:ascii="Aptos" w:hAnsi="Aptos"/>
                <w:color w:val="00101F"/>
                <w:sz w:val="18"/>
              </w:rPr>
              <w:t>Salesdata per propositie vergelijken</w:t>
            </w:r>
          </w:p>
        </w:tc>
        <w:tc>
          <w:tcPr>
            <w:tcW w:type="dxa" w:w="3293"/>
            <w:tcMar>
              <w:top w:w="100" w:type="dxa"/>
              <w:start w:w="120" w:type="dxa"/>
              <w:bottom w:w="100" w:type="dxa"/>
              <w:end w:w="120" w:type="dxa"/>
            </w:tcMar>
            <w:shd w:fill="F4F5F9"/>
            <w:vAlign w:val="top"/>
          </w:tcPr>
          <w:p>
            <w:r>
              <w:rPr>
                <w:rFonts w:ascii="Aptos" w:hAnsi="Aptos"/>
                <w:color w:val="00101F"/>
                <w:sz w:val="18"/>
              </w:rPr>
              <w:t>Governance-boodschap levert meer gekwalificeerde gesprekken op</w:t>
            </w:r>
          </w:p>
        </w:tc>
      </w:tr>
      <w:tr>
        <w:tc>
          <w:tcPr>
            <w:tcW w:type="dxa" w:w="3293"/>
            <w:tcMar>
              <w:top w:w="100" w:type="dxa"/>
              <w:start w:w="120" w:type="dxa"/>
              <w:bottom w:w="100" w:type="dxa"/>
              <w:end w:w="120" w:type="dxa"/>
            </w:tcMar>
            <w:vAlign w:val="top"/>
          </w:tcPr>
          <w:p>
            <w:r>
              <w:rPr>
                <w:rFonts w:ascii="Aptos" w:hAnsi="Aptos"/>
                <w:color w:val="00101F"/>
                <w:sz w:val="18"/>
              </w:rPr>
              <w:t>Software kan repetitief werk verminderen</w:t>
            </w:r>
          </w:p>
        </w:tc>
        <w:tc>
          <w:tcPr>
            <w:tcW w:type="dxa" w:w="3293"/>
            <w:tcMar>
              <w:top w:w="100" w:type="dxa"/>
              <w:start w:w="120" w:type="dxa"/>
              <w:bottom w:w="100" w:type="dxa"/>
              <w:end w:w="120" w:type="dxa"/>
            </w:tcMar>
            <w:vAlign w:val="top"/>
          </w:tcPr>
          <w:p>
            <w:r>
              <w:rPr>
                <w:rFonts w:ascii="Aptos" w:hAnsi="Aptos"/>
                <w:color w:val="00101F"/>
                <w:sz w:val="18"/>
              </w:rPr>
              <w:t>Uren per scan meten</w:t>
            </w:r>
          </w:p>
        </w:tc>
        <w:tc>
          <w:tcPr>
            <w:tcW w:type="dxa" w:w="3293"/>
            <w:tcMar>
              <w:top w:w="100" w:type="dxa"/>
              <w:start w:w="120" w:type="dxa"/>
              <w:bottom w:w="100" w:type="dxa"/>
              <w:end w:w="120" w:type="dxa"/>
            </w:tcMar>
            <w:vAlign w:val="top"/>
          </w:tcPr>
          <w:p>
            <w:r>
              <w:rPr>
                <w:rFonts w:ascii="Aptos" w:hAnsi="Aptos"/>
                <w:color w:val="00101F"/>
                <w:sz w:val="18"/>
              </w:rPr>
              <w:t>Minimaal 30% van het werk is structureel herhaalbaar</w:t>
            </w:r>
          </w:p>
        </w:tc>
      </w:tr>
    </w:tbl>
    <w:p/>
    <w:p>
      <w:pPr>
        <w:pStyle w:val="Heading1"/>
      </w:pPr>
      <w:r>
        <w:t>12. Twaalfmaandenkoers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001D3F"/>
            <w:tcMar>
              <w:top w:w="100" w:type="dxa"/>
              <w:start w:w="120" w:type="dxa"/>
              <w:bottom w:w="100" w:type="dxa"/>
              <w:end w:w="120" w:type="dxa"/>
            </w:tcMar>
          </w:tcPr>
          <w:p>
            <w:r>
              <w:rPr>
                <w:rFonts w:ascii="Aptos" w:hAnsi="Aptos"/>
                <w:b/>
                <w:color w:val="FFFFFF"/>
                <w:sz w:val="18"/>
              </w:rPr>
              <w:t>Periode</w:t>
            </w:r>
          </w:p>
        </w:tc>
        <w:tc>
          <w:tcPr>
            <w:tcW w:type="dxa" w:w="3293"/>
            <w:shd w:fill="001D3F"/>
            <w:tcMar>
              <w:top w:w="100" w:type="dxa"/>
              <w:start w:w="120" w:type="dxa"/>
              <w:bottom w:w="100" w:type="dxa"/>
              <w:end w:w="120" w:type="dxa"/>
            </w:tcMar>
          </w:tcPr>
          <w:p>
            <w:r>
              <w:rPr>
                <w:rFonts w:ascii="Aptos" w:hAnsi="Aptos"/>
                <w:b/>
                <w:color w:val="FFFFFF"/>
                <w:sz w:val="18"/>
              </w:rPr>
              <w:t>Focus</w:t>
            </w:r>
          </w:p>
        </w:tc>
        <w:tc>
          <w:tcPr>
            <w:tcW w:type="dxa" w:w="3293"/>
            <w:shd w:fill="001D3F"/>
            <w:tcMar>
              <w:top w:w="100" w:type="dxa"/>
              <w:start w:w="120" w:type="dxa"/>
              <w:bottom w:w="100" w:type="dxa"/>
              <w:end w:w="120" w:type="dxa"/>
            </w:tcMar>
          </w:tcPr>
          <w:p>
            <w:r>
              <w:rPr>
                <w:rFonts w:ascii="Aptos" w:hAnsi="Aptos"/>
                <w:b/>
                <w:color w:val="FFFFFF"/>
                <w:sz w:val="18"/>
              </w:rPr>
              <w:t>Concrete output</w:t>
            </w:r>
          </w:p>
        </w:tc>
      </w:tr>
      <w:tr>
        <w:tc>
          <w:tcPr>
            <w:tcW w:type="dxa" w:w="3293"/>
            <w:tcMar>
              <w:top w:w="100" w:type="dxa"/>
              <w:start w:w="120" w:type="dxa"/>
              <w:bottom w:w="100" w:type="dxa"/>
              <w:end w:w="120" w:type="dxa"/>
            </w:tcMar>
            <w:vAlign w:val="top"/>
          </w:tcPr>
          <w:p>
            <w:r>
              <w:rPr>
                <w:rFonts w:ascii="Aptos" w:hAnsi="Aptos"/>
                <w:color w:val="00101F"/>
                <w:sz w:val="18"/>
              </w:rPr>
              <w:t>Maand 1-2</w:t>
            </w:r>
          </w:p>
        </w:tc>
        <w:tc>
          <w:tcPr>
            <w:tcW w:type="dxa" w:w="3293"/>
            <w:tcMar>
              <w:top w:w="100" w:type="dxa"/>
              <w:start w:w="120" w:type="dxa"/>
              <w:bottom w:w="100" w:type="dxa"/>
              <w:end w:w="120" w:type="dxa"/>
            </w:tcMar>
            <w:vAlign w:val="top"/>
          </w:tcPr>
          <w:p>
            <w:r>
              <w:rPr>
                <w:rFonts w:ascii="Aptos" w:hAnsi="Aptos"/>
                <w:color w:val="00101F"/>
                <w:sz w:val="18"/>
              </w:rPr>
              <w:t>Methodiek</w:t>
            </w:r>
          </w:p>
        </w:tc>
        <w:tc>
          <w:tcPr>
            <w:tcW w:type="dxa" w:w="3293"/>
            <w:tcMar>
              <w:top w:w="100" w:type="dxa"/>
              <w:start w:w="120" w:type="dxa"/>
              <w:bottom w:w="100" w:type="dxa"/>
              <w:end w:w="120" w:type="dxa"/>
            </w:tcMar>
            <w:vAlign w:val="top"/>
          </w:tcPr>
          <w:p>
            <w:r>
              <w:rPr>
                <w:rFonts w:ascii="Aptos" w:hAnsi="Aptos"/>
                <w:color w:val="00101F"/>
                <w:sz w:val="18"/>
              </w:rPr>
              <w:t>Vragenlijst, scoremodel, AI-register, rapporttemplate, interviewscript</w:t>
            </w:r>
          </w:p>
        </w:tc>
      </w:tr>
      <w:tr>
        <w:tc>
          <w:tcPr>
            <w:tcW w:type="dxa" w:w="3293"/>
            <w:tcMar>
              <w:top w:w="100" w:type="dxa"/>
              <w:start w:w="120" w:type="dxa"/>
              <w:bottom w:w="100" w:type="dxa"/>
              <w:end w:w="120" w:type="dxa"/>
            </w:tcMar>
            <w:shd w:fill="F4F5F9"/>
            <w:vAlign w:val="top"/>
          </w:tcPr>
          <w:p>
            <w:r>
              <w:rPr>
                <w:rFonts w:ascii="Aptos" w:hAnsi="Aptos"/>
                <w:color w:val="00101F"/>
                <w:sz w:val="18"/>
              </w:rPr>
              <w:t>Maand 2-4</w:t>
            </w:r>
          </w:p>
        </w:tc>
        <w:tc>
          <w:tcPr>
            <w:tcW w:type="dxa" w:w="3293"/>
            <w:tcMar>
              <w:top w:w="100" w:type="dxa"/>
              <w:start w:w="120" w:type="dxa"/>
              <w:bottom w:w="100" w:type="dxa"/>
              <w:end w:w="120" w:type="dxa"/>
            </w:tcMar>
            <w:shd w:fill="F4F5F9"/>
            <w:vAlign w:val="top"/>
          </w:tcPr>
          <w:p>
            <w:r>
              <w:rPr>
                <w:rFonts w:ascii="Aptos" w:hAnsi="Aptos"/>
                <w:color w:val="00101F"/>
                <w:sz w:val="18"/>
              </w:rPr>
              <w:t>Pilots</w:t>
            </w:r>
          </w:p>
        </w:tc>
        <w:tc>
          <w:tcPr>
            <w:tcW w:type="dxa" w:w="3293"/>
            <w:tcMar>
              <w:top w:w="100" w:type="dxa"/>
              <w:start w:w="120" w:type="dxa"/>
              <w:bottom w:w="100" w:type="dxa"/>
              <w:end w:w="120" w:type="dxa"/>
            </w:tcMar>
            <w:shd w:fill="F4F5F9"/>
            <w:vAlign w:val="top"/>
          </w:tcPr>
          <w:p>
            <w:r>
              <w:rPr>
                <w:rFonts w:ascii="Aptos" w:hAnsi="Aptos"/>
                <w:color w:val="00101F"/>
                <w:sz w:val="18"/>
              </w:rPr>
              <w:t>5 betaalde scans, feedback, eerste testimonials zodra gerechtvaardigd</w:t>
            </w:r>
          </w:p>
        </w:tc>
      </w:tr>
      <w:tr>
        <w:tc>
          <w:tcPr>
            <w:tcW w:type="dxa" w:w="3293"/>
            <w:tcMar>
              <w:top w:w="100" w:type="dxa"/>
              <w:start w:w="120" w:type="dxa"/>
              <w:bottom w:w="100" w:type="dxa"/>
              <w:end w:w="120" w:type="dxa"/>
            </w:tcMar>
            <w:vAlign w:val="top"/>
          </w:tcPr>
          <w:p>
            <w:r>
              <w:rPr>
                <w:rFonts w:ascii="Aptos" w:hAnsi="Aptos"/>
                <w:color w:val="00101F"/>
                <w:sz w:val="18"/>
              </w:rPr>
              <w:t>Maand 4-6</w:t>
            </w:r>
          </w:p>
        </w:tc>
        <w:tc>
          <w:tcPr>
            <w:tcW w:type="dxa" w:w="3293"/>
            <w:tcMar>
              <w:top w:w="100" w:type="dxa"/>
              <w:start w:w="120" w:type="dxa"/>
              <w:bottom w:w="100" w:type="dxa"/>
              <w:end w:w="120" w:type="dxa"/>
            </w:tcMar>
            <w:vAlign w:val="top"/>
          </w:tcPr>
          <w:p>
            <w:r>
              <w:rPr>
                <w:rFonts w:ascii="Aptos" w:hAnsi="Aptos"/>
                <w:color w:val="00101F"/>
                <w:sz w:val="18"/>
              </w:rPr>
              <w:t>Niche en prijs</w:t>
            </w:r>
          </w:p>
        </w:tc>
        <w:tc>
          <w:tcPr>
            <w:tcW w:type="dxa" w:w="3293"/>
            <w:tcMar>
              <w:top w:w="100" w:type="dxa"/>
              <w:start w:w="120" w:type="dxa"/>
              <w:bottom w:w="100" w:type="dxa"/>
              <w:end w:w="120" w:type="dxa"/>
            </w:tcMar>
            <w:vAlign w:val="top"/>
          </w:tcPr>
          <w:p>
            <w:r>
              <w:rPr>
                <w:rFonts w:ascii="Aptos" w:hAnsi="Aptos"/>
                <w:color w:val="00101F"/>
                <w:sz w:val="18"/>
              </w:rPr>
              <w:t>Keuze primaire sector, vaste pakketten, cases op basis van echt werk</w:t>
            </w:r>
          </w:p>
        </w:tc>
      </w:tr>
      <w:tr>
        <w:tc>
          <w:tcPr>
            <w:tcW w:type="dxa" w:w="3293"/>
            <w:tcMar>
              <w:top w:w="100" w:type="dxa"/>
              <w:start w:w="120" w:type="dxa"/>
              <w:bottom w:w="100" w:type="dxa"/>
              <w:end w:w="120" w:type="dxa"/>
            </w:tcMar>
            <w:shd w:fill="F4F5F9"/>
            <w:vAlign w:val="top"/>
          </w:tcPr>
          <w:p>
            <w:r>
              <w:rPr>
                <w:rFonts w:ascii="Aptos" w:hAnsi="Aptos"/>
                <w:color w:val="00101F"/>
                <w:sz w:val="18"/>
              </w:rPr>
              <w:t>Maand 6-9</w:t>
            </w:r>
          </w:p>
        </w:tc>
        <w:tc>
          <w:tcPr>
            <w:tcW w:type="dxa" w:w="3293"/>
            <w:tcMar>
              <w:top w:w="100" w:type="dxa"/>
              <w:start w:w="120" w:type="dxa"/>
              <w:bottom w:w="100" w:type="dxa"/>
              <w:end w:w="120" w:type="dxa"/>
            </w:tcMar>
            <w:shd w:fill="F4F5F9"/>
            <w:vAlign w:val="top"/>
          </w:tcPr>
          <w:p>
            <w:r>
              <w:rPr>
                <w:rFonts w:ascii="Aptos" w:hAnsi="Aptos"/>
                <w:color w:val="00101F"/>
                <w:sz w:val="18"/>
              </w:rPr>
              <w:t>Implementatiepropositie</w:t>
            </w:r>
          </w:p>
        </w:tc>
        <w:tc>
          <w:tcPr>
            <w:tcW w:type="dxa" w:w="3293"/>
            <w:tcMar>
              <w:top w:w="100" w:type="dxa"/>
              <w:start w:w="120" w:type="dxa"/>
              <w:bottom w:w="100" w:type="dxa"/>
              <w:end w:w="120" w:type="dxa"/>
            </w:tcMar>
            <w:shd w:fill="F4F5F9"/>
            <w:vAlign w:val="top"/>
          </w:tcPr>
          <w:p>
            <w:r>
              <w:rPr>
                <w:rFonts w:ascii="Aptos" w:hAnsi="Aptos"/>
                <w:color w:val="00101F"/>
                <w:sz w:val="18"/>
              </w:rPr>
              <w:t>Governance implementatie en ISO-readiness als duidelijke upsell</w:t>
            </w:r>
          </w:p>
        </w:tc>
      </w:tr>
      <w:tr>
        <w:tc>
          <w:tcPr>
            <w:tcW w:type="dxa" w:w="3293"/>
            <w:tcMar>
              <w:top w:w="100" w:type="dxa"/>
              <w:start w:w="120" w:type="dxa"/>
              <w:bottom w:w="100" w:type="dxa"/>
              <w:end w:w="120" w:type="dxa"/>
            </w:tcMar>
            <w:vAlign w:val="top"/>
          </w:tcPr>
          <w:p>
            <w:r>
              <w:rPr>
                <w:rFonts w:ascii="Aptos" w:hAnsi="Aptos"/>
                <w:color w:val="00101F"/>
                <w:sz w:val="18"/>
              </w:rPr>
              <w:t>Maand 9-12</w:t>
            </w:r>
          </w:p>
        </w:tc>
        <w:tc>
          <w:tcPr>
            <w:tcW w:type="dxa" w:w="3293"/>
            <w:tcMar>
              <w:top w:w="100" w:type="dxa"/>
              <w:start w:w="120" w:type="dxa"/>
              <w:bottom w:w="100" w:type="dxa"/>
              <w:end w:w="120" w:type="dxa"/>
            </w:tcMar>
            <w:vAlign w:val="top"/>
          </w:tcPr>
          <w:p>
            <w:r>
              <w:rPr>
                <w:rFonts w:ascii="Aptos" w:hAnsi="Aptos"/>
                <w:color w:val="00101F"/>
                <w:sz w:val="18"/>
              </w:rPr>
              <w:t>Recurring revenue</w:t>
            </w:r>
          </w:p>
        </w:tc>
        <w:tc>
          <w:tcPr>
            <w:tcW w:type="dxa" w:w="3293"/>
            <w:tcMar>
              <w:top w:w="100" w:type="dxa"/>
              <w:start w:w="120" w:type="dxa"/>
              <w:bottom w:w="100" w:type="dxa"/>
              <w:end w:w="120" w:type="dxa"/>
            </w:tcMar>
            <w:vAlign w:val="top"/>
          </w:tcPr>
          <w:p>
            <w:r>
              <w:rPr>
                <w:rFonts w:ascii="Aptos" w:hAnsi="Aptos"/>
                <w:color w:val="00101F"/>
                <w:sz w:val="18"/>
              </w:rPr>
              <w:t>Maintenance-abonnement en eerste eenvoudige klantportal</w:t>
            </w:r>
          </w:p>
        </w:tc>
      </w:tr>
    </w:tbl>
    <w:p/>
    <w:p>
      <w:pPr>
        <w:pStyle w:val="Heading1"/>
      </w:pPr>
      <w:r>
        <w:t>13. Beslisregels om de koers niet kwijt te raken</w:t>
      </w:r>
    </w:p>
    <w:p>
      <w:pPr>
        <w:pStyle w:val="ListBullet"/>
        <w:ind w:left="288" w:hanging="173"/>
      </w:pPr>
      <w:r>
        <w:rPr>
          <w:rFonts w:ascii="Aptos" w:hAnsi="Aptos"/>
          <w:color w:val="00101F"/>
          <w:sz w:val="20"/>
        </w:rPr>
        <w:t>Begin bij het klantprobleem, niet bij de norm.</w:t>
      </w:r>
    </w:p>
    <w:p>
      <w:pPr>
        <w:pStyle w:val="ListBullet"/>
        <w:ind w:left="288" w:hanging="173"/>
      </w:pPr>
      <w:r>
        <w:rPr>
          <w:rFonts w:ascii="Aptos" w:hAnsi="Aptos"/>
          <w:color w:val="00101F"/>
          <w:sz w:val="20"/>
        </w:rPr>
        <w:t>Verkoop geen angst voor wetgeving. Verkoop overzicht, beheersing en aantoonbaarheid.</w:t>
      </w:r>
    </w:p>
    <w:p>
      <w:pPr>
        <w:pStyle w:val="ListBullet"/>
        <w:ind w:left="288" w:hanging="173"/>
      </w:pPr>
      <w:r>
        <w:rPr>
          <w:rFonts w:ascii="Aptos" w:hAnsi="Aptos"/>
          <w:color w:val="00101F"/>
          <w:sz w:val="20"/>
        </w:rPr>
        <w:t>Geen certificeringsgaranties.</w:t>
      </w:r>
    </w:p>
    <w:p>
      <w:pPr>
        <w:pStyle w:val="ListBullet"/>
        <w:ind w:left="288" w:hanging="173"/>
      </w:pPr>
      <w:r>
        <w:rPr>
          <w:rFonts w:ascii="Aptos" w:hAnsi="Aptos"/>
          <w:color w:val="00101F"/>
          <w:sz w:val="20"/>
        </w:rPr>
        <w:t>Geen fake cases of klantclaims. Gebruik demonstratiecases totdat er echte referenties zijn.</w:t>
      </w:r>
    </w:p>
    <w:p>
      <w:pPr>
        <w:pStyle w:val="ListBullet"/>
        <w:ind w:left="288" w:hanging="173"/>
      </w:pPr>
      <w:r>
        <w:rPr>
          <w:rFonts w:ascii="Aptos" w:hAnsi="Aptos"/>
          <w:color w:val="00101F"/>
          <w:sz w:val="20"/>
        </w:rPr>
        <w:t>Geen SaaS bouwen voordat ten minste tien echte scans duidelijk maken wat herhaalbaar is.</w:t>
      </w:r>
    </w:p>
    <w:p>
      <w:pPr>
        <w:pStyle w:val="ListBullet"/>
        <w:ind w:left="288" w:hanging="173"/>
      </w:pPr>
      <w:r>
        <w:rPr>
          <w:rFonts w:ascii="Aptos" w:hAnsi="Aptos"/>
          <w:color w:val="00101F"/>
          <w:sz w:val="20"/>
        </w:rPr>
        <w:t>Iedere deliverable moet leiden tot een besluit of actie, niet alleen tot meer documentatie.</w:t>
      </w:r>
    </w:p>
    <w:p>
      <w:pPr>
        <w:pStyle w:val="ListBullet"/>
        <w:ind w:left="288" w:hanging="173"/>
      </w:pPr>
      <w:r>
        <w:rPr>
          <w:rFonts w:ascii="Aptos" w:hAnsi="Aptos"/>
          <w:color w:val="00101F"/>
          <w:sz w:val="20"/>
        </w:rPr>
        <w:t>De scan moet zelfstandig waarde hebben, ook wanneer de klant nooit ISO/IEC 42001-certificering aanvraagt.</w:t>
      </w:r>
    </w:p>
    <w:p>
      <w:pPr>
        <w:pStyle w:val="ListBullet"/>
        <w:ind w:left="288" w:hanging="173"/>
      </w:pPr>
      <w:r>
        <w:rPr>
          <w:rFonts w:ascii="Aptos" w:hAnsi="Aptos"/>
          <w:color w:val="00101F"/>
          <w:sz w:val="20"/>
        </w:rPr>
        <w:t>Technische verdieping is een onderscheidend vermogen, geen excuus om de dienstverlening onbegrijpelijk te maken.</w:t>
      </w:r>
    </w:p>
    <w:p>
      <w:pPr>
        <w:pStyle w:val="Heading1"/>
      </w:pPr>
      <w:r>
        <w:t>14. Bronnen en feitelijke basis</w:t>
      </w:r>
    </w:p>
    <w:p>
      <w:pPr>
        <w:pStyle w:val="ListBullet"/>
        <w:ind w:left="288" w:hanging="173"/>
      </w:pPr>
      <w:r>
        <w:rPr>
          <w:rFonts w:ascii="Aptos" w:hAnsi="Aptos"/>
          <w:color w:val="00101F"/>
          <w:sz w:val="20"/>
        </w:rPr>
        <w:t>ISO. ISO/IEC 42001:2023, Information technology, Artificial intelligence, Management system. ISO beschrijft deze norm als het internationale kader voor het opzetten, implementeren, onderhouden en continu verbeteren van een AI-managementsysteem.</w:t>
      </w:r>
    </w:p>
    <w:p>
      <w:pPr>
        <w:pStyle w:val="ListBullet"/>
        <w:ind w:left="288" w:hanging="173"/>
      </w:pPr>
      <w:r>
        <w:rPr>
          <w:rFonts w:ascii="Aptos" w:hAnsi="Aptos"/>
          <w:color w:val="00101F"/>
          <w:sz w:val="20"/>
        </w:rPr>
        <w:t>Europese Commissie. AI Literacy, Questions &amp; Answers. Artikel 4 van de AI Act is sinds 2 februari 2025 van toepassing, toezicht en handhaving starten in augustus 2026.</w:t>
      </w:r>
    </w:p>
    <w:p>
      <w:pPr>
        <w:pStyle w:val="ListBullet"/>
        <w:ind w:left="288" w:hanging="173"/>
      </w:pPr>
      <w:r>
        <w:rPr>
          <w:rFonts w:ascii="Aptos" w:hAnsi="Aptos"/>
          <w:color w:val="00101F"/>
          <w:sz w:val="20"/>
        </w:rPr>
        <w:t>Raad voor Accreditatie. Allereerste accreditaties voor certificeren AI management systemen, 27 januari 2025. BSI en DNV waren de eerste in Nederland geaccrediteerde instellingen voor ISO 42001-certificering.</w:t>
      </w:r>
    </w:p>
    <w:p>
      <w:pPr>
        <w:pStyle w:val="ListBullet"/>
        <w:ind w:left="288" w:hanging="173"/>
      </w:pPr>
      <w:r>
        <w:rPr>
          <w:rFonts w:ascii="Aptos" w:hAnsi="Aptos"/>
          <w:color w:val="00101F"/>
          <w:sz w:val="20"/>
        </w:rPr>
        <w:t>Mateo-Casali, M. A. et al. (2026). Reference architecture for the design and implementation of AI systems in manufacturing in conformity to ISO/IEC 42001. International Journal of Computer Integrated Manufacturing. De paper vertaalt relevante ISO/IEC 42001-thema’s naar lifecycle- en architectuurcontrols, waaronder monitoring, traceability, human oversight, retraining, logging en documentatie.</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Intern werkdocument  •  juli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1D3F"/>
        <w:sz w:val="17"/>
      </w:rPr>
      <w:t>METERWISE  /  AI GOVERNANCE &amp;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01D3F"/>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101F"/>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FF4F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101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59"/>
    </w:pPr>
    <w:rPr>
      <w:rFonts w:ascii="Aptos" w:hAnsi="Aptos"/>
      <w:b/>
      <w:color w:val="001D3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