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UNIVERSIDAD CENTRAL DE VENEZUELA</w:t>
      </w:r>
    </w:p>
    <w:p>
      <w:pPr>
        <w:pStyle w:val="Title"/>
        <w:rPr/>
      </w:pPr>
      <w:r>
        <w:rPr/>
        <w:t>FACULTAD DE INGENIERÍA</w:t>
      </w:r>
    </w:p>
    <w:p>
      <w:pPr>
        <w:pStyle w:val="Title"/>
        <w:rPr/>
      </w:pPr>
      <w:r>
        <w:rPr/>
        <w:t>ESCUELA DE INGENIERÍA ELÉCTRICA</w:t>
      </w:r>
    </w:p>
    <w:p>
      <w:pPr>
        <w:pStyle w:val="Title"/>
        <w:rPr/>
      </w:pPr>
      <w:r>
        <w:rPr/>
        <w:t>DEPARTAMENTO DE POTENCIA</w:t>
      </w:r>
    </w:p>
    <w:p>
      <w:pPr>
        <w:pStyle w:val="Title"/>
        <w:rPr/>
      </w:pPr>
      <w:r>
        <w:rPr/>
        <w:t xml:space="preserve"> </w:t>
      </w:r>
      <w:r>
        <w:rPr/>
        <w:tab/>
      </w:r>
    </w:p>
    <w:p>
      <w:pPr>
        <w:pStyle w:val="Title"/>
        <w:rPr/>
      </w:pPr>
      <w:r>
        <w:rPr/>
      </w:r>
    </w:p>
    <w:p>
      <w:pPr>
        <w:pStyle w:val="Title"/>
        <w:rPr/>
      </w:pPr>
      <w:r>
        <w:rPr/>
      </w:r>
    </w:p>
    <w:p>
      <w:pPr>
        <w:pStyle w:val="Title"/>
        <w:rPr/>
      </w:pPr>
      <w:r>
        <w:rPr/>
      </w:r>
    </w:p>
    <w:p>
      <w:pPr>
        <w:pStyle w:val="Title"/>
        <w:rPr/>
      </w:pPr>
      <w:r>
        <w:rPr/>
      </w:r>
    </w:p>
    <w:p>
      <w:pPr>
        <w:pStyle w:val="Title"/>
        <w:rPr/>
      </w:pPr>
      <w:r>
        <w:rPr/>
      </w:r>
    </w:p>
    <w:p>
      <w:pPr>
        <w:pStyle w:val="Title"/>
        <w:rPr/>
      </w:pPr>
      <w:r>
        <w:rPr/>
        <w:t>ANTEPROYECTO DEL TRABAJO ESPECIAL DE GRADO</w:t>
      </w:r>
    </w:p>
    <w:p>
      <w:pPr>
        <w:pStyle w:val="Title"/>
        <w:rPr>
          <w:b w:val="false"/>
          <w:bCs w:val="false"/>
        </w:rPr>
      </w:pPr>
      <w:r>
        <w:rPr>
          <w:b w:val="false"/>
          <w:bCs w:val="false"/>
        </w:rPr>
        <w:t>Levantamiento y digitalización de la red de media tensión de la Universidad Central de Venezuela para su gestión y modernización.</w:t>
      </w:r>
    </w:p>
    <w:p>
      <w:pPr>
        <w:pStyle w:val="Heading1"/>
        <w:rPr/>
      </w:pPr>
      <w:r>
        <w:rPr/>
      </w:r>
    </w:p>
    <w:p>
      <w:pPr>
        <w:pStyle w:val="Normal"/>
        <w:rPr/>
      </w:pPr>
      <w:r>
        <w:rPr/>
      </w:r>
    </w:p>
    <w:p>
      <w:pPr>
        <w:pStyle w:val="Normal"/>
        <w:rPr/>
      </w:pPr>
      <w:r>
        <w:rPr/>
      </w:r>
    </w:p>
    <w:p>
      <w:pPr>
        <w:pStyle w:val="Heading1"/>
        <w:rPr/>
      </w:pPr>
      <w:r>
        <w:rPr/>
      </w:r>
    </w:p>
    <w:p>
      <w:pPr>
        <w:pStyle w:val="Normal"/>
        <w:rPr/>
      </w:pPr>
      <w:r>
        <w:rPr/>
      </w:r>
    </w:p>
    <w:p>
      <w:pPr>
        <w:pStyle w:val="Normal"/>
        <w:rPr/>
      </w:pPr>
      <w:r>
        <w:rPr/>
      </w:r>
    </w:p>
    <w:p>
      <w:pPr>
        <w:pStyle w:val="Normal"/>
        <w:rPr/>
      </w:pPr>
      <w:r>
        <w:rPr/>
      </w:r>
    </w:p>
    <w:p>
      <w:pPr>
        <w:pStyle w:val="Normal"/>
        <w:widowControl/>
        <w:suppressAutoHyphens w:val="true"/>
        <w:bidi w:val="0"/>
        <w:spacing w:lineRule="auto" w:line="360" w:before="0" w:after="0"/>
        <w:ind w:hanging="0" w:left="0"/>
        <w:jc w:val="left"/>
        <w:rPr>
          <w:lang w:val="es-CO" w:eastAsia="zh-CN" w:bidi="ar-SA"/>
        </w:rPr>
      </w:pPr>
      <w:r>
        <w:rPr>
          <w:rFonts w:eastAsia="" w:cs="" w:cstheme="minorBidi" w:eastAsiaTheme="minorEastAsia"/>
          <w:color w:val="auto"/>
          <w:kern w:val="0"/>
          <w:sz w:val="24"/>
          <w:szCs w:val="20"/>
          <w:lang w:val="es-CO" w:eastAsia="zh-CN" w:bidi="ar-SA"/>
        </w:rPr>
        <w:t>Tutor Académico:  Prof. Alejandro Herrera</w:t>
      </w:r>
    </w:p>
    <w:p>
      <w:pPr>
        <w:pStyle w:val="Normal"/>
        <w:rPr/>
      </w:pPr>
      <w:r>
        <w:rPr/>
      </w:r>
    </w:p>
    <w:p>
      <w:pPr>
        <w:pStyle w:val="Normal"/>
        <w:jc w:val="right"/>
        <w:rPr>
          <w:b w:val="false"/>
          <w:bCs w:val="false"/>
          <w:lang w:val="es-ES" w:eastAsia="zh-CN" w:bidi="ar-SA"/>
        </w:rPr>
      </w:pPr>
      <w:r>
        <w:rPr/>
        <w:t>Realizado por el Br. Juan Miguelangel Contreras</w:t>
      </w:r>
    </w:p>
    <w:p>
      <w:pPr>
        <w:pStyle w:val="Normal"/>
        <w:jc w:val="right"/>
        <w:rPr/>
      </w:pPr>
      <w:r>
        <w:rPr/>
        <w:t>CI: 25.562.106</w:t>
      </w:r>
    </w:p>
    <w:p>
      <w:pPr>
        <w:pStyle w:val="Normal"/>
        <w:jc w:val="right"/>
        <w:rPr/>
      </w:pPr>
      <w:r>
        <w:rPr/>
      </w:r>
    </w:p>
    <w:p>
      <w:pPr>
        <w:pStyle w:val="Normal"/>
        <w:ind w:hanging="0" w:left="0"/>
        <w:jc w:val="center"/>
        <w:rPr/>
      </w:pPr>
      <w:r>
        <w:rPr/>
        <w:t>Caracas, mayo de 2026</w:t>
      </w:r>
    </w:p>
    <w:p>
      <w:pPr>
        <w:pStyle w:val="Heading1"/>
        <w:rPr/>
      </w:pPr>
      <w:r>
        <w:rPr/>
        <w:t>INTRODUCCIÓN</w:t>
      </w:r>
    </w:p>
    <w:p>
      <w:pPr>
        <w:pStyle w:val="Normal"/>
        <w:rPr/>
      </w:pPr>
      <w:r>
        <w:rPr/>
      </w:r>
    </w:p>
    <w:p>
      <w:pPr>
        <w:pStyle w:val="Normal"/>
        <w:rPr/>
      </w:pPr>
      <w:r>
        <w:rPr/>
      </w:r>
      <w:r>
        <w:br w:type="page"/>
      </w:r>
    </w:p>
    <w:p>
      <w:pPr>
        <w:pStyle w:val="Heading1"/>
        <w:spacing w:before="0" w:after="0"/>
        <w:rPr/>
      </w:pPr>
      <w:r>
        <w:rPr/>
        <w:t>PLANTEAMIENTO DEL PROBLEMA</w:t>
      </w:r>
    </w:p>
    <w:p>
      <w:pPr>
        <w:pStyle w:val="Normal"/>
        <w:ind w:hanging="0" w:left="0"/>
        <w:rPr>
          <w:rFonts w:ascii="Times New Roman" w:hAnsi="Times New Roman"/>
          <w:b w:val="false"/>
          <w:bCs w:val="false"/>
          <w:i w:val="false"/>
          <w:color w:val="000000"/>
          <w:sz w:val="24"/>
        </w:rPr>
      </w:pPr>
      <w:r>
        <w:rPr>
          <w:b w:val="false"/>
          <w:bCs w:val="false"/>
          <w:i w:val="false"/>
          <w:color w:val="000000"/>
          <w:sz w:val="24"/>
        </w:rPr>
      </w:r>
    </w:p>
    <w:p>
      <w:pPr>
        <w:pStyle w:val="Normal"/>
        <w:rPr/>
      </w:pPr>
      <w:r>
        <w:rPr/>
        <w:t xml:space="preserve">La </w:t>
      </w:r>
      <w:r>
        <w:rPr>
          <w:b/>
        </w:rPr>
        <w:t>Ciudad Universitaria de Caracas</w:t>
      </w:r>
      <w:r>
        <w:rPr/>
        <w:t>, sede de la Universidad Central de Venezuela (UCV), requiere un suministro eléctrico confiable para sus actividades de docencia e investigación. Actualmente, el campus es servido en su mayoría por una red de distribución de media tensión (</w:t>
      </w:r>
      <w:r>
        <w:rPr>
          <w:color w:val="FF0000"/>
        </w:rPr>
        <w:t>3 kV</w:t>
      </w:r>
      <w:r>
        <w:rPr/>
        <w:t>). Esta red se origina en el interruptor principal de la Entrada Tamanaco y se distribuye a través de una red de tanquetas hacia las protecciones de las distintas facultades y escuelas.</w:t>
      </w:r>
    </w:p>
    <w:p>
      <w:pPr>
        <w:pStyle w:val="Normal"/>
        <w:rPr/>
      </w:pPr>
      <w:r>
        <w:rPr/>
      </w:r>
    </w:p>
    <w:p>
      <w:pPr>
        <w:pStyle w:val="Normal"/>
        <w:rPr/>
      </w:pPr>
      <w:r>
        <w:rPr/>
        <w:t>Sin embargo, la infraestructura actual presenta una brecha crítica: la ausencia de un registro técnico actualizado y digitalizado. La inexistencia de datos precisos sobre el estado de los conductores (calibres y aislamiento), accesorios de conexión y la saturación física de las tanquillas, impide una gestión eficiente del sistema. Esta opacidad informativa limita la ejecución de mantenimientos y genera incertidumbre sobre la selectividad y capacidad de respuesta de los dispositivos de maniobra frente a la demanda actual.</w:t>
      </w:r>
    </w:p>
    <w:p>
      <w:pPr>
        <w:pStyle w:val="Normal"/>
        <w:rPr/>
      </w:pPr>
      <w:r>
        <w:rPr/>
      </w:r>
    </w:p>
    <w:p>
      <w:pPr>
        <w:pStyle w:val="Normal"/>
        <w:rPr/>
      </w:pPr>
      <w:r>
        <w:rPr/>
        <w:t xml:space="preserve">Ante este escenario, el presente </w:t>
      </w:r>
      <w:r>
        <w:rPr>
          <w:b/>
        </w:rPr>
        <w:t>Trabajo Especial de Grado</w:t>
      </w:r>
      <w:r>
        <w:rPr/>
        <w:t xml:space="preserve"> propone el levantamiento exhaustivo y la inspección técnica de campo para caracterizar integralmente la red de </w:t>
      </w:r>
      <w:r>
        <w:rPr>
          <w:color w:val="FF0000"/>
        </w:rPr>
        <w:t>3 kV</w:t>
      </w:r>
      <w:r>
        <w:rPr/>
        <w:t xml:space="preserve">. La información recolectada será procesada y digitalizada mediante herramientas de diseño </w:t>
      </w:r>
      <w:r>
        <w:rPr>
          <w:b/>
        </w:rPr>
        <w:t>AutoCAD</w:t>
      </w:r>
      <w:r>
        <w:rPr/>
        <w:t xml:space="preserve"> y modelado </w:t>
      </w:r>
      <w:r>
        <w:rPr>
          <w:b/>
        </w:rPr>
        <w:t>REVIT (BIM)</w:t>
      </w:r>
      <w:r>
        <w:rPr/>
        <w:t>, proporcionando una base técnica fidedigna para el análisis de las protecciones eléctricas. Finalmente se validará la adecuación del sistema y se formulará una propuesta de modernización que garantice una infraestructura segura, confiable y tecnológicamente actualizada.</w:t>
      </w:r>
      <w:r>
        <w:br w:type="page"/>
      </w:r>
    </w:p>
    <w:p>
      <w:pPr>
        <w:pStyle w:val="Heading1"/>
        <w:spacing w:before="0" w:after="0"/>
        <w:rPr>
          <w:lang w:val="es-ES" w:eastAsia="zh-CN" w:bidi="ar-SA"/>
        </w:rPr>
      </w:pPr>
      <w:r>
        <w:rPr/>
        <w:t>JUSTIFICACIÓN</w:t>
      </w:r>
    </w:p>
    <w:p>
      <w:pPr>
        <w:pStyle w:val="Normal"/>
        <w:rPr/>
      </w:pPr>
      <w:r>
        <w:rPr/>
      </w:r>
    </w:p>
    <w:p>
      <w:pPr>
        <w:pStyle w:val="Normal"/>
        <w:rPr/>
      </w:pPr>
      <w:r>
        <w:rPr/>
        <w:t xml:space="preserve">La ejecución de este proyecto se justifica por la necesidad crítica de garantizar la confiabilidad operativa del sistema eléctrico de la Ciudad Universitaria de Caracas. La digitalización de la red de 3 kV bajo estándares BIM (Building Information Modeling) mediante el uso de </w:t>
      </w:r>
      <w:r>
        <w:rPr/>
        <w:t>programas</w:t>
      </w:r>
      <w:r>
        <w:rPr/>
        <w:t xml:space="preserve"> como </w:t>
      </w:r>
      <w:r>
        <w:rPr>
          <w:b/>
        </w:rPr>
        <w:t>REVIT</w:t>
      </w:r>
      <w:r>
        <w:rPr/>
        <w:t xml:space="preserve"> y </w:t>
      </w:r>
      <w:r>
        <w:rPr>
          <w:b/>
        </w:rPr>
        <w:t>AutoCAD</w:t>
      </w:r>
      <w:r>
        <w:rPr/>
        <w:t xml:space="preserve"> representa un avance tecnológico institucional, permitiendo transitar de una gestión reactiva a un modelo de mantenimiento preventivo y predictivo basado en datos técnicos precisos.</w:t>
      </w:r>
    </w:p>
    <w:p>
      <w:pPr>
        <w:pStyle w:val="Normal"/>
        <w:rPr/>
      </w:pPr>
      <w:r>
        <w:rPr/>
      </w:r>
    </w:p>
    <w:p>
      <w:pPr>
        <w:pStyle w:val="Normal"/>
        <w:rPr/>
      </w:pPr>
      <w:r>
        <w:rPr/>
        <w:t xml:space="preserve">Desde el punto de vista técnico y de seguridad, la investigación es fundamental para validar la operatividad de las protecciones eléctricas de acuerdo con el </w:t>
      </w:r>
      <w:r>
        <w:rPr>
          <w:b/>
        </w:rPr>
        <w:t>Código Eléctrico Nacional (CEN)</w:t>
      </w:r>
      <w:r>
        <w:rPr/>
        <w:t xml:space="preserve">. Disponer de información fidedigna sobre el estado de conductores, empalmes y el nivel de saturación de las tanquillas permitirá </w:t>
      </w:r>
      <w:r>
        <w:rPr/>
        <w:t>al personal encargado del mantenimiento de la red eléctrica</w:t>
      </w:r>
      <w:r>
        <w:rPr/>
        <w:t xml:space="preserve"> mitigar riesgos de falla optimizar los tiempos de respuesta ante contingencias y asegurar que la infraestructura pueda soportar de manera segura la demanda actual de las escuelas y facultades.</w:t>
      </w:r>
    </w:p>
    <w:p>
      <w:pPr>
        <w:pStyle w:val="Normal"/>
        <w:rPr/>
      </w:pPr>
      <w:r>
        <w:rPr/>
      </w:r>
    </w:p>
    <w:p>
      <w:pPr>
        <w:pStyle w:val="Normal"/>
        <w:rPr/>
      </w:pPr>
      <w:r>
        <w:rPr/>
        <w:t xml:space="preserve">Finalmente, esta investigación constituye una base técnica indispensable para futuros proyectos de expansión y modernización. Al dotar a la universidad de una herramienta fidedigna de gestión de activos, </w:t>
      </w:r>
      <w:r>
        <w:rPr/>
        <w:t>que ayude mejorar</w:t>
      </w:r>
      <w:r>
        <w:rPr/>
        <w:t xml:space="preserve"> la continuidad y eficiencia del suministro eléctrico, facilitando además la ejecución de estudios de ingeniería especializados que aseguren la integridad de la red y el resguardo de la </w:t>
      </w:r>
      <w:r>
        <w:rPr/>
        <w:t>infraestructura</w:t>
      </w:r>
      <w:r>
        <w:rPr/>
        <w:t xml:space="preserve"> frente a contingencias.</w:t>
      </w:r>
      <w:r>
        <w:br w:type="page"/>
      </w:r>
    </w:p>
    <w:p>
      <w:pPr>
        <w:pStyle w:val="Heading1"/>
        <w:rPr/>
      </w:pPr>
      <w:r>
        <w:rPr/>
        <w:t>ANTECEDENTES</w:t>
      </w:r>
    </w:p>
    <w:p>
      <w:pPr>
        <w:pStyle w:val="Normal"/>
        <w:spacing w:before="0" w:after="0"/>
        <w:rPr>
          <w:lang w:val="es-ES" w:eastAsia="zh-CN" w:bidi="ar-SA"/>
        </w:rPr>
      </w:pPr>
      <w:r>
        <w:rPr/>
      </w:r>
    </w:p>
    <w:p>
      <w:pPr>
        <w:pStyle w:val="Heading1"/>
        <w:rPr/>
      </w:pPr>
      <w:r>
        <w:rPr/>
      </w:r>
    </w:p>
    <w:p>
      <w:pPr>
        <w:pStyle w:val="Normal"/>
        <w:ind w:hanging="0" w:left="0"/>
        <w:rPr/>
      </w:pPr>
      <w:r>
        <w:rPr/>
      </w:r>
    </w:p>
    <w:p>
      <w:pPr>
        <w:pStyle w:val="Heading1"/>
        <w:rPr/>
      </w:pPr>
      <w:r>
        <w:rPr/>
      </w:r>
      <w:r>
        <w:br w:type="page"/>
      </w:r>
    </w:p>
    <w:p>
      <w:pPr>
        <w:pStyle w:val="Heading1"/>
        <w:spacing w:before="0" w:after="0"/>
        <w:rPr/>
      </w:pPr>
      <w:r>
        <w:rPr/>
        <w:t>OBJETIVOS</w:t>
      </w:r>
    </w:p>
    <w:p>
      <w:pPr>
        <w:pStyle w:val="Normal"/>
        <w:rPr/>
      </w:pPr>
      <w:r>
        <w:rPr/>
      </w:r>
    </w:p>
    <w:p>
      <w:pPr>
        <w:pStyle w:val="Heading1"/>
        <w:rPr/>
      </w:pPr>
      <w:r>
        <w:rPr/>
      </w:r>
      <w:r>
        <w:br w:type="page"/>
      </w:r>
    </w:p>
    <w:p>
      <w:pPr>
        <w:pStyle w:val="Heading1"/>
        <w:spacing w:before="0" w:after="0"/>
        <w:rPr/>
      </w:pPr>
      <w:r>
        <w:rPr/>
        <w:t>METODOLOGÍA</w:t>
      </w:r>
    </w:p>
    <w:p>
      <w:pPr>
        <w:pStyle w:val="Normal"/>
        <w:rPr/>
      </w:pPr>
      <w:r>
        <w:rPr/>
      </w:r>
    </w:p>
    <w:p>
      <w:pPr>
        <w:pStyle w:val="Heading1"/>
        <w:rPr/>
      </w:pPr>
      <w:r>
        <w:rPr/>
      </w:r>
      <w:r>
        <w:br w:type="page"/>
      </w:r>
    </w:p>
    <w:p>
      <w:pPr>
        <w:pStyle w:val="Heading1"/>
        <w:spacing w:before="0" w:after="0"/>
        <w:rPr/>
      </w:pPr>
      <w:r>
        <w:rPr/>
        <w:t>ALCANCE Y LIMITACIONES</w:t>
      </w:r>
    </w:p>
    <w:p>
      <w:pPr>
        <w:pStyle w:val="Normal"/>
        <w:rPr/>
      </w:pPr>
      <w:r>
        <w:rPr/>
      </w:r>
    </w:p>
    <w:p>
      <w:pPr>
        <w:pStyle w:val="Normal"/>
        <w:rPr>
          <w:lang w:val="es-ES" w:eastAsia="zh-CN" w:bidi="ar-SA"/>
        </w:rPr>
      </w:pPr>
      <w:r>
        <w:rPr/>
        <w:t>Se pretende desarrollar un sistema funcional para evaluar los umbrales de concentración de humo de los detectores fotoeléctricos fabricados por la empresa SOVICA Electronics, en cumplimiento con la normativa nacional vigente.</w:t>
      </w:r>
    </w:p>
    <w:p>
      <w:pPr>
        <w:pStyle w:val="Normal"/>
        <w:rPr/>
      </w:pPr>
      <w:r>
        <w:rPr/>
      </w:r>
    </w:p>
    <w:p>
      <w:pPr>
        <w:pStyle w:val="Normal"/>
        <w:rPr>
          <w:lang w:val="es-ES" w:eastAsia="zh-CN" w:bidi="ar-SA"/>
        </w:rPr>
      </w:pPr>
      <w:r>
        <w:rPr/>
        <w:t>El alcance propuesto en este proyecto abarca el diseño y puesta en práctica de un sistema que permita medir las condiciones de activación de los detectores de humo. Sin embargo, es importante señalar que este alcance excluye otras condiciones de calidad exigidas por la normativa nacional, así como protocolos de calidad como UL268 y UL217.</w:t>
      </w:r>
    </w:p>
    <w:p>
      <w:pPr>
        <w:pStyle w:val="Normal"/>
        <w:rPr/>
      </w:pPr>
      <w:r>
        <w:rPr/>
      </w:r>
    </w:p>
    <w:p>
      <w:pPr>
        <w:pStyle w:val="Normal"/>
        <w:rPr>
          <w:lang w:val="es-ES" w:eastAsia="zh-CN" w:bidi="ar-SA"/>
        </w:rPr>
      </w:pPr>
      <w:r>
        <w:rPr/>
        <w:t>Es de señalar que los resultados de la puesta en práctica del evaluador de detectores de humo, estarán condicionados de la calidad de los materiales técnicos, y dispositivos, a los que se pueda tener acceso en el mercado.</w:t>
        <w:br/>
      </w:r>
    </w:p>
    <w:p>
      <w:pPr>
        <w:pStyle w:val="Normal"/>
        <w:rPr/>
      </w:pPr>
      <w:r>
        <w:rPr/>
      </w:r>
      <w:r>
        <w:br w:type="page"/>
      </w:r>
    </w:p>
    <w:p>
      <w:pPr>
        <w:pStyle w:val="Heading1"/>
        <w:spacing w:before="0" w:after="0"/>
        <w:rPr/>
      </w:pPr>
      <w:r>
        <w:rPr/>
        <w:t>HERRAMIENTAS Y EQUIPOS A UTILIZAR</w:t>
      </w:r>
    </w:p>
    <w:p>
      <w:pPr>
        <w:pStyle w:val="Normal"/>
        <w:rPr/>
      </w:pPr>
      <w:r>
        <w:rPr/>
      </w:r>
    </w:p>
    <w:p>
      <w:pPr>
        <w:pStyle w:val="Normal"/>
        <w:ind w:hanging="0" w:left="0"/>
        <w:rPr/>
      </w:pPr>
      <w:r>
        <w:rPr/>
      </w:r>
      <w:r>
        <w:br w:type="page"/>
      </w:r>
    </w:p>
    <w:p>
      <w:pPr>
        <w:pStyle w:val="Heading1"/>
        <w:spacing w:before="0" w:after="0"/>
        <w:rPr>
          <w:lang w:val="es-ES" w:eastAsia="zh-CN" w:bidi="ar-SA"/>
        </w:rPr>
      </w:pPr>
      <w:r>
        <w:rPr/>
        <w:t>FACTIBILIDAD</w:t>
      </w:r>
    </w:p>
    <w:p>
      <w:pPr>
        <w:pStyle w:val="Normal"/>
        <w:spacing w:before="0" w:after="0"/>
        <w:rPr/>
        <w:sectPr>
          <w:type w:val="nextPage"/>
          <w:pgSz w:w="12240" w:h="15840"/>
          <w:pgMar w:left="2268" w:right="1701" w:gutter="0" w:header="0" w:top="1701" w:footer="0" w:bottom="1701"/>
          <w:pgNumType w:fmt="decimal"/>
          <w:formProt w:val="false"/>
          <w:textDirection w:val="lrTb"/>
          <w:docGrid w:type="default" w:linePitch="360" w:charSpace="0"/>
        </w:sectPr>
      </w:pPr>
      <w:r>
        <w:rPr/>
      </w:r>
    </w:p>
    <w:p>
      <w:pPr>
        <w:pStyle w:val="Heading1"/>
        <w:rPr>
          <w:lang w:val="es-ES" w:eastAsia="zh-CN" w:bidi="ar-SA"/>
        </w:rPr>
      </w:pPr>
      <w:r>
        <w:rPr/>
        <w:t>CRONOGRAMA DE ACTIVIDADES</w:t>
      </w:r>
    </w:p>
    <w:p>
      <w:pPr>
        <w:pStyle w:val="Normal"/>
        <w:rPr/>
      </w:pPr>
      <w:r>
        <w:rPr/>
      </w:r>
    </w:p>
    <w:p>
      <w:pPr>
        <w:pStyle w:val="Normal"/>
        <w:rPr>
          <w:lang w:val="es-ES" w:eastAsia="zh-CN" w:bidi="ar-SA"/>
        </w:rPr>
      </w:pPr>
      <w:r>
        <w:rPr/>
        <w:drawing>
          <wp:inline distT="0" distB="0" distL="0" distR="0">
            <wp:extent cx="8266430" cy="32264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8266430" cy="3226435"/>
                    </a:xfrm>
                    <a:prstGeom prst="rect">
                      <a:avLst/>
                    </a:prstGeom>
                    <a:noFill/>
                  </pic:spPr>
                </pic:pic>
              </a:graphicData>
            </a:graphic>
          </wp:inline>
        </w:drawing>
      </w:r>
    </w:p>
    <w:p>
      <w:pPr>
        <w:pStyle w:val="Normal"/>
        <w:rPr>
          <w:lang w:val="es-ES" w:eastAsia="zh-CN" w:bidi="ar-SA"/>
        </w:rPr>
        <w:sectPr>
          <w:type w:val="nextPage"/>
          <w:pgSz w:orient="landscape" w:w="15840" w:h="12240"/>
          <w:pgMar w:left="1701" w:right="1701" w:gutter="0" w:header="0" w:top="2268" w:footer="0" w:bottom="1701"/>
          <w:pgNumType w:fmt="decimal"/>
          <w:formProt w:val="false"/>
          <w:textDirection w:val="lrTb"/>
          <w:docGrid w:type="default" w:linePitch="360" w:charSpace="0"/>
        </w:sectPr>
      </w:pPr>
      <w:r>
        <mc:AlternateContent>
          <mc:Choice Requires="wps">
            <w:drawing>
              <wp:anchor distT="0" distB="0" distL="0" distR="0" simplePos="0" relativeHeight="3" behindDoc="0" locked="0" layoutInCell="1" allowOverlap="1">
                <wp:simplePos x="0" y="0"/>
                <wp:positionH relativeFrom="column">
                  <wp:posOffset>1101725</wp:posOffset>
                </wp:positionH>
                <wp:positionV relativeFrom="paragraph">
                  <wp:posOffset>348615</wp:posOffset>
                </wp:positionV>
                <wp:extent cx="2391410" cy="1169670"/>
                <wp:effectExtent l="0" t="0" r="0" b="0"/>
                <wp:wrapNone/>
                <wp:docPr id="2" name="Cuadro de texto 3"/>
                <a:graphic xmlns:a="http://schemas.openxmlformats.org/drawingml/2006/main">
                  <a:graphicData uri="http://schemas.microsoft.com/office/word/2010/wordprocessingShape">
                    <wps:wsp>
                      <wps:cNvSpPr/>
                      <wps:spPr>
                        <a:xfrm>
                          <a:off x="0" y="0"/>
                          <a:ext cx="2391480" cy="1169640"/>
                        </a:xfrm>
                        <a:prstGeom prst="rect">
                          <a:avLst/>
                        </a:prstGeom>
                        <a:solidFill>
                          <a:schemeClr val="lt1"/>
                        </a:solidFill>
                        <a:ln w="6350">
                          <a:noFill/>
                        </a:ln>
                      </wps:spPr>
                      <wps:style>
                        <a:lnRef idx="0">
                          <a:schemeClr val="accent1"/>
                        </a:lnRef>
                        <a:fillRef idx="0">
                          <a:schemeClr val="accent1"/>
                        </a:fillRef>
                        <a:effectRef idx="0">
                          <a:schemeClr val="accent1"/>
                        </a:effectRef>
                        <a:fontRef idx="minor"/>
                      </wps:style>
                      <wps:txbx>
                        <w:txbxContent>
                          <w:p>
                            <w:pPr>
                              <w:pStyle w:val="Contenidodelmarco"/>
                              <w:rPr>
                                <w:color w:val="000000"/>
                              </w:rPr>
                            </w:pPr>
                            <w:r>
                              <w:rPr>
                                <w:color w:val="000000"/>
                              </w:rPr>
                            </w:r>
                          </w:p>
                          <w:p>
                            <w:pPr>
                              <w:pStyle w:val="Contenidodelmarco"/>
                              <w:pBdr>
                                <w:bottom w:val="single" w:sz="12" w:space="0" w:color="000000"/>
                              </w:pBdr>
                              <w:rPr>
                                <w:color w:val="000000"/>
                              </w:rPr>
                            </w:pPr>
                            <w:r>
                              <w:rPr>
                                <w:color w:val="000000"/>
                              </w:rPr>
                            </w:r>
                          </w:p>
                          <w:p>
                            <w:pPr>
                              <w:pStyle w:val="Contenidodelmarco"/>
                              <w:spacing w:lineRule="auto" w:line="240"/>
                              <w:rPr>
                                <w:b/>
                                <w:bCs/>
                                <w:lang w:val="es-MX"/>
                              </w:rPr>
                            </w:pPr>
                            <w:r>
                              <w:rPr>
                                <w:b/>
                                <w:bCs/>
                                <w:color w:val="000000"/>
                                <w:lang w:val="es-MX"/>
                              </w:rPr>
                              <w:t>Firma del bachiller</w:t>
                            </w:r>
                          </w:p>
                          <w:p>
                            <w:pPr>
                              <w:pStyle w:val="Contenidodelmarco"/>
                              <w:spacing w:lineRule="auto" w:line="240"/>
                              <w:rPr>
                                <w:b/>
                                <w:bCs/>
                                <w:lang w:val="es-MX"/>
                              </w:rPr>
                            </w:pPr>
                            <w:r>
                              <w:rPr>
                                <w:b/>
                                <w:bCs/>
                                <w:color w:val="000000"/>
                                <w:lang w:val="es-MX"/>
                              </w:rPr>
                              <w:t>Juan Contreras</w:t>
                            </w:r>
                          </w:p>
                        </w:txbxContent>
                      </wps:txbx>
                      <wps:bodyPr anchor="t">
                        <a:noAutofit/>
                      </wps:bodyPr>
                    </wps:wsp>
                  </a:graphicData>
                </a:graphic>
              </wp:anchor>
            </w:drawing>
          </mc:Choice>
          <mc:Fallback>
            <w:pict>
              <v:rect id="shape_0" fillcolor="white" stroked="f" o:allowincell="f" style="position:absolute;margin-left:86.75pt;margin-top:27.45pt;width:188.25pt;height:92.05pt;mso-wrap-style:square;v-text-anchor:top">
                <v:fill o:detectmouseclick="t" type="solid" color2="black"/>
                <v:stroke color="#3465a4" weight="6480" joinstyle="round" endcap="flat"/>
                <v:textbox>
                  <w:txbxContent>
                    <w:p>
                      <w:pPr>
                        <w:pStyle w:val="Contenidodelmarco"/>
                        <w:rPr>
                          <w:color w:val="000000"/>
                        </w:rPr>
                      </w:pPr>
                      <w:r>
                        <w:rPr>
                          <w:color w:val="000000"/>
                        </w:rPr>
                      </w:r>
                    </w:p>
                    <w:p>
                      <w:pPr>
                        <w:pStyle w:val="Contenidodelmarco"/>
                        <w:pBdr>
                          <w:bottom w:val="single" w:sz="12" w:space="0" w:color="000000"/>
                        </w:pBdr>
                        <w:rPr>
                          <w:color w:val="000000"/>
                        </w:rPr>
                      </w:pPr>
                      <w:r>
                        <w:rPr>
                          <w:color w:val="000000"/>
                        </w:rPr>
                      </w:r>
                    </w:p>
                    <w:p>
                      <w:pPr>
                        <w:pStyle w:val="Contenidodelmarco"/>
                        <w:spacing w:lineRule="auto" w:line="240"/>
                        <w:rPr>
                          <w:b/>
                          <w:bCs/>
                          <w:lang w:val="es-MX"/>
                        </w:rPr>
                      </w:pPr>
                      <w:r>
                        <w:rPr>
                          <w:b/>
                          <w:bCs/>
                          <w:color w:val="000000"/>
                          <w:lang w:val="es-MX"/>
                        </w:rPr>
                        <w:t>Firma del bachiller</w:t>
                      </w:r>
                    </w:p>
                    <w:p>
                      <w:pPr>
                        <w:pStyle w:val="Contenidodelmarco"/>
                        <w:spacing w:lineRule="auto" w:line="240"/>
                        <w:rPr>
                          <w:b/>
                          <w:bCs/>
                          <w:lang w:val="es-MX"/>
                        </w:rPr>
                      </w:pPr>
                      <w:r>
                        <w:rPr>
                          <w:b/>
                          <w:bCs/>
                          <w:color w:val="000000"/>
                          <w:lang w:val="es-MX"/>
                        </w:rPr>
                        <w:t>Juan Contreras</w:t>
                      </w:r>
                    </w:p>
                  </w:txbxContent>
                </v:textbox>
                <w10:wrap type="none"/>
              </v:rect>
            </w:pict>
          </mc:Fallback>
        </mc:AlternateContent>
        <mc:AlternateContent>
          <mc:Choice Requires="wps">
            <w:drawing>
              <wp:anchor distT="0" distB="0" distL="0" distR="0" simplePos="0" relativeHeight="5" behindDoc="0" locked="0" layoutInCell="1" allowOverlap="1">
                <wp:simplePos x="0" y="0"/>
                <wp:positionH relativeFrom="column">
                  <wp:posOffset>4495165</wp:posOffset>
                </wp:positionH>
                <wp:positionV relativeFrom="paragraph">
                  <wp:posOffset>354965</wp:posOffset>
                </wp:positionV>
                <wp:extent cx="2391410" cy="1169670"/>
                <wp:effectExtent l="0" t="0" r="0" b="0"/>
                <wp:wrapNone/>
                <wp:docPr id="3" name="Cuadro de texto 4"/>
                <a:graphic xmlns:a="http://schemas.openxmlformats.org/drawingml/2006/main">
                  <a:graphicData uri="http://schemas.microsoft.com/office/word/2010/wordprocessingShape">
                    <wps:wsp>
                      <wps:cNvSpPr/>
                      <wps:spPr>
                        <a:xfrm>
                          <a:off x="0" y="0"/>
                          <a:ext cx="2391480" cy="1169640"/>
                        </a:xfrm>
                        <a:prstGeom prst="rect">
                          <a:avLst/>
                        </a:prstGeom>
                        <a:solidFill>
                          <a:schemeClr val="lt1"/>
                        </a:solidFill>
                        <a:ln w="6350">
                          <a:noFill/>
                        </a:ln>
                      </wps:spPr>
                      <wps:style>
                        <a:lnRef idx="0">
                          <a:schemeClr val="accent1"/>
                        </a:lnRef>
                        <a:fillRef idx="0">
                          <a:schemeClr val="accent1"/>
                        </a:fillRef>
                        <a:effectRef idx="0">
                          <a:schemeClr val="accent1"/>
                        </a:effectRef>
                        <a:fontRef idx="minor"/>
                      </wps:style>
                      <wps:txbx>
                        <w:txbxContent>
                          <w:p>
                            <w:pPr>
                              <w:pStyle w:val="Contenidodelmarco"/>
                              <w:rPr>
                                <w:color w:val="000000"/>
                              </w:rPr>
                            </w:pPr>
                            <w:r>
                              <w:rPr>
                                <w:color w:val="000000"/>
                              </w:rPr>
                            </w:r>
                          </w:p>
                          <w:p>
                            <w:pPr>
                              <w:pStyle w:val="Contenidodelmarco"/>
                              <w:pBdr>
                                <w:bottom w:val="single" w:sz="12" w:space="0" w:color="000000"/>
                              </w:pBdr>
                              <w:rPr>
                                <w:color w:val="000000"/>
                              </w:rPr>
                            </w:pPr>
                            <w:r>
                              <w:rPr>
                                <w:color w:val="000000"/>
                              </w:rPr>
                            </w:r>
                          </w:p>
                          <w:p>
                            <w:pPr>
                              <w:pStyle w:val="Contenidodelmarco"/>
                              <w:spacing w:lineRule="auto" w:line="240"/>
                              <w:rPr>
                                <w:b/>
                                <w:bCs/>
                                <w:lang w:val="es-MX"/>
                              </w:rPr>
                            </w:pPr>
                            <w:r>
                              <w:rPr>
                                <w:b/>
                                <w:bCs/>
                                <w:color w:val="000000"/>
                                <w:lang w:val="es-MX"/>
                              </w:rPr>
                              <w:t>Firma del tutor industrial</w:t>
                            </w:r>
                          </w:p>
                          <w:p>
                            <w:pPr>
                              <w:pStyle w:val="Contenidodelmarco"/>
                              <w:spacing w:lineRule="auto" w:line="240"/>
                              <w:rPr>
                                <w:b/>
                                <w:bCs/>
                                <w:lang w:val="es-MX"/>
                              </w:rPr>
                            </w:pPr>
                            <w:r>
                              <w:rPr>
                                <w:b/>
                                <w:bCs/>
                                <w:color w:val="000000"/>
                                <w:lang w:val="es-MX"/>
                              </w:rPr>
                              <w:t>Ing. Iván Gutiérrez</w:t>
                            </w:r>
                          </w:p>
                        </w:txbxContent>
                      </wps:txbx>
                      <wps:bodyPr anchor="t">
                        <a:noAutofit/>
                      </wps:bodyPr>
                    </wps:wsp>
                  </a:graphicData>
                </a:graphic>
              </wp:anchor>
            </w:drawing>
          </mc:Choice>
          <mc:Fallback>
            <w:pict>
              <v:rect id="shape_0" fillcolor="white" stroked="f" o:allowincell="f" style="position:absolute;margin-left:353.95pt;margin-top:27.95pt;width:188.25pt;height:92.05pt;mso-wrap-style:square;v-text-anchor:top">
                <v:fill o:detectmouseclick="t" type="solid" color2="black"/>
                <v:stroke color="#3465a4" weight="6480" joinstyle="round" endcap="flat"/>
                <v:textbox>
                  <w:txbxContent>
                    <w:p>
                      <w:pPr>
                        <w:pStyle w:val="Contenidodelmarco"/>
                        <w:rPr>
                          <w:color w:val="000000"/>
                        </w:rPr>
                      </w:pPr>
                      <w:r>
                        <w:rPr>
                          <w:color w:val="000000"/>
                        </w:rPr>
                      </w:r>
                    </w:p>
                    <w:p>
                      <w:pPr>
                        <w:pStyle w:val="Contenidodelmarco"/>
                        <w:pBdr>
                          <w:bottom w:val="single" w:sz="12" w:space="0" w:color="000000"/>
                        </w:pBdr>
                        <w:rPr>
                          <w:color w:val="000000"/>
                        </w:rPr>
                      </w:pPr>
                      <w:r>
                        <w:rPr>
                          <w:color w:val="000000"/>
                        </w:rPr>
                      </w:r>
                    </w:p>
                    <w:p>
                      <w:pPr>
                        <w:pStyle w:val="Contenidodelmarco"/>
                        <w:spacing w:lineRule="auto" w:line="240"/>
                        <w:rPr>
                          <w:b/>
                          <w:bCs/>
                          <w:lang w:val="es-MX"/>
                        </w:rPr>
                      </w:pPr>
                      <w:r>
                        <w:rPr>
                          <w:b/>
                          <w:bCs/>
                          <w:color w:val="000000"/>
                          <w:lang w:val="es-MX"/>
                        </w:rPr>
                        <w:t>Firma del tutor industrial</w:t>
                      </w:r>
                    </w:p>
                    <w:p>
                      <w:pPr>
                        <w:pStyle w:val="Contenidodelmarco"/>
                        <w:spacing w:lineRule="auto" w:line="240"/>
                        <w:rPr>
                          <w:b/>
                          <w:bCs/>
                          <w:lang w:val="es-MX"/>
                        </w:rPr>
                      </w:pPr>
                      <w:r>
                        <w:rPr>
                          <w:b/>
                          <w:bCs/>
                          <w:color w:val="000000"/>
                          <w:lang w:val="es-MX"/>
                        </w:rPr>
                        <w:t>Ing. Iván Gutiérrez</w:t>
                      </w:r>
                    </w:p>
                  </w:txbxContent>
                </v:textbox>
                <w10:wrap type="none"/>
              </v:rect>
            </w:pict>
          </mc:Fallback>
        </mc:AlternateContent>
      </w:r>
      <w:r>
        <w:rPr/>
        <w:t>*MCU: microcontrolador</w:t>
      </w:r>
    </w:p>
    <w:p>
      <w:pPr>
        <w:pStyle w:val="Heading1"/>
        <w:rPr>
          <w:lang w:val="es-ES" w:eastAsia="zh-CN" w:bidi="ar-SA"/>
        </w:rPr>
      </w:pPr>
      <w:r>
        <w:rPr/>
        <w:t>REFERENCIAS Y BIBLIOGRAFÍAS</w:t>
      </w:r>
    </w:p>
    <w:p>
      <w:pPr>
        <w:pStyle w:val="Normal"/>
        <w:rPr/>
      </w:pPr>
      <w:r>
        <w:rPr/>
      </w:r>
    </w:p>
    <w:p>
      <w:pPr>
        <w:pStyle w:val="Normal"/>
        <w:numPr>
          <w:ilvl w:val="0"/>
          <w:numId w:val="2"/>
        </w:numPr>
        <w:rPr>
          <w:lang w:val="es-ES" w:eastAsia="zh-CN" w:bidi="ar-SA"/>
        </w:rPr>
      </w:pPr>
      <w:r>
        <w:rPr>
          <w:lang w:val="es-ES" w:eastAsia="zh-CN" w:bidi="ar-SA"/>
        </w:rPr>
        <w:t xml:space="preserve">COVENIN (Comisión Venezolana de Normas Industriales). (1980). </w:t>
      </w:r>
      <w:r>
        <w:rPr>
          <w:i/>
          <w:iCs/>
          <w:lang w:val="es-ES" w:eastAsia="zh-CN" w:bidi="ar-SA"/>
        </w:rPr>
        <w:t>Norma COVENIN 1420-80: Detector Óptico de Humo.</w:t>
      </w:r>
      <w:r>
        <w:rPr>
          <w:lang w:val="es-ES" w:eastAsia="zh-CN" w:bidi="ar-SA"/>
        </w:rPr>
        <w:t xml:space="preserve"> Caracas, Venezuela.</w:t>
      </w:r>
    </w:p>
    <w:p>
      <w:pPr>
        <w:pStyle w:val="Normal"/>
        <w:rPr/>
      </w:pPr>
      <w:r>
        <w:rPr/>
      </w:r>
    </w:p>
    <w:p>
      <w:pPr>
        <w:pStyle w:val="Normal"/>
        <w:numPr>
          <w:ilvl w:val="0"/>
          <w:numId w:val="2"/>
        </w:numPr>
        <w:rPr/>
      </w:pPr>
      <w:r>
        <w:rPr>
          <w:lang w:val="es-ES" w:eastAsia="zh-CN" w:bidi="ar-SA"/>
        </w:rPr>
        <w:t xml:space="preserve">Geiman, J., y Gottuk, D. T. (2003). </w:t>
      </w:r>
      <w:r>
        <w:rPr>
          <w:i/>
          <w:iCs/>
          <w:lang w:val="es-ES" w:eastAsia="zh-CN" w:bidi="ar-SA"/>
        </w:rPr>
        <w:t>Alarm thresholds for smoke detector modeling.</w:t>
      </w:r>
      <w:r>
        <w:rPr>
          <w:lang w:val="es-ES" w:eastAsia="zh-CN" w:bidi="ar-SA"/>
        </w:rPr>
        <w:t xml:space="preserve"> Fire Safety Science, 7mo Simposio Internacional, p.197-208. Consultado el 1 de junio de 2024 desde </w:t>
      </w:r>
      <w:hyperlink r:id="rId3">
        <w:r>
          <w:rPr>
            <w:rStyle w:val="Hyperlink"/>
            <w:lang w:val="es-ES" w:eastAsia="zh-CN" w:bidi="ar-SA"/>
          </w:rPr>
          <w:t>https://publications.iafss.org/publications/fss/7/197</w:t>
        </w:r>
      </w:hyperlink>
    </w:p>
    <w:p>
      <w:pPr>
        <w:pStyle w:val="Normal"/>
        <w:rPr/>
      </w:pPr>
      <w:r>
        <w:rPr/>
      </w:r>
    </w:p>
    <w:p>
      <w:pPr>
        <w:pStyle w:val="Normal"/>
        <w:numPr>
          <w:ilvl w:val="0"/>
          <w:numId w:val="2"/>
        </w:numPr>
        <w:rPr/>
      </w:pPr>
      <w:r>
        <w:rPr>
          <w:lang w:val="es-ES" w:eastAsia="zh-CN" w:bidi="ar-SA"/>
        </w:rPr>
        <w:t xml:space="preserve">Jang, H. Y., y Hwang, C. H. (2020). </w:t>
      </w:r>
      <w:r>
        <w:rPr>
          <w:i/>
          <w:iCs/>
          <w:lang w:val="es-ES" w:eastAsia="zh-CN" w:bidi="ar-SA"/>
        </w:rPr>
        <w:t>Obscuration Threshold Database Construction of Smoke Detectors for Various Combustibles.</w:t>
      </w:r>
      <w:r>
        <w:rPr>
          <w:lang w:val="es-ES" w:eastAsia="zh-CN" w:bidi="ar-SA"/>
        </w:rPr>
        <w:t xml:space="preserve"> Sensors (Basel, Switzerland), 20(21), 6272. Consultado el 5 de junio de 2024 desde </w:t>
      </w:r>
      <w:hyperlink r:id="rId4">
        <w:r>
          <w:rPr>
            <w:rStyle w:val="Hyperlink"/>
            <w:lang w:val="es-ES" w:eastAsia="zh-CN" w:bidi="ar-SA"/>
          </w:rPr>
          <w:t>https://doi.org/10.3390/s20216272.</w:t>
        </w:r>
      </w:hyperlink>
    </w:p>
    <w:p>
      <w:pPr>
        <w:pStyle w:val="Normal"/>
        <w:rPr/>
      </w:pPr>
      <w:r>
        <w:rPr/>
      </w:r>
    </w:p>
    <w:p>
      <w:pPr>
        <w:pStyle w:val="Normal"/>
        <w:numPr>
          <w:ilvl w:val="0"/>
          <w:numId w:val="2"/>
        </w:numPr>
        <w:rPr>
          <w:lang w:val="es-ES" w:eastAsia="zh-CN" w:bidi="ar-SA"/>
        </w:rPr>
      </w:pPr>
      <w:r>
        <w:rPr>
          <w:lang w:val="es-ES" w:eastAsia="zh-CN" w:bidi="ar-SA"/>
        </w:rPr>
        <w:t>NFPA (National Fire Protection Association). (2016).</w:t>
      </w:r>
      <w:r>
        <w:rPr>
          <w:i/>
          <w:iCs/>
          <w:lang w:val="es-ES" w:eastAsia="zh-CN" w:bidi="ar-SA"/>
        </w:rPr>
        <w:t xml:space="preserve"> NFPA 72: Código Nacional de Alarmas de Incendio y Señalización</w:t>
      </w:r>
      <w:r>
        <w:rPr>
          <w:lang w:val="es-ES" w:eastAsia="zh-CN" w:bidi="ar-SA"/>
        </w:rPr>
        <w:t>. Quincy, Massachusetts.</w:t>
      </w:r>
    </w:p>
    <w:p>
      <w:pPr>
        <w:pStyle w:val="Normal"/>
        <w:rPr/>
      </w:pPr>
      <w:r>
        <w:rPr/>
      </w:r>
    </w:p>
    <w:p>
      <w:pPr>
        <w:pStyle w:val="Normal"/>
        <w:rPr/>
      </w:pPr>
      <w:r>
        <w:rPr/>
      </w:r>
    </w:p>
    <w:sectPr>
      <w:type w:val="nextPage"/>
      <w:pgSz w:w="12240" w:h="15840"/>
      <w:pgMar w:left="2268" w:right="1701" w:gutter="0" w:header="0" w:top="1701" w:footer="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1"/>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90"/>
  <w:defaultTabStop w:val="708"/>
  <w:autoHyphenation w:val="true"/>
  <w:hyphenationZone w:val="0"/>
  <w:compat>
    <w:ulTrailSpace/>
    <w:doNotExpandShiftReturn/>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s-CO"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qFormat="1"/>
    <w:lsdException w:name="footer" w:uiPriority="0" w:semiHidden="0" w:unhideWhenUsed="0" w:qFormat="1"/>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qFormat="1"/>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qFormat="1"/>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atentStyles>
  <w:style w:type="paragraph" w:styleId="Normal" w:default="1">
    <w:name w:val="Normal"/>
    <w:uiPriority w:val="0"/>
    <w:qFormat/>
    <w:pPr>
      <w:widowControl/>
      <w:suppressAutoHyphens w:val="true"/>
      <w:bidi w:val="0"/>
      <w:spacing w:lineRule="auto" w:line="360" w:before="0" w:after="0"/>
      <w:ind w:firstLine="850"/>
      <w:jc w:val="both"/>
    </w:pPr>
    <w:rPr>
      <w:rFonts w:ascii="Times New Roman" w:hAnsi="Times New Roman" w:eastAsia="" w:cs="" w:cstheme="minorBidi" w:eastAsiaTheme="minorEastAsia"/>
      <w:color w:val="auto"/>
      <w:kern w:val="0"/>
      <w:sz w:val="24"/>
      <w:szCs w:val="20"/>
      <w:lang w:val="es-CO" w:eastAsia="zh-CN" w:bidi="ar-SA"/>
    </w:rPr>
  </w:style>
  <w:style w:type="paragraph" w:styleId="Heading1">
    <w:name w:val="heading 1"/>
    <w:basedOn w:val="Normal"/>
    <w:next w:val="Normal"/>
    <w:autoRedefine/>
    <w:uiPriority w:val="0"/>
    <w:qFormat/>
    <w:pPr>
      <w:keepNext w:val="true"/>
      <w:widowControl/>
      <w:ind w:hanging="0"/>
      <w:jc w:val="center"/>
      <w:outlineLvl w:val="0"/>
    </w:pPr>
    <w:rPr>
      <w:rFonts w:ascii="Times New Roman" w:hAnsi="Times New Roman" w:cs="Arial"/>
      <w:b/>
      <w:bCs/>
      <w:kern w:val="2"/>
      <w:sz w:val="28"/>
      <w:szCs w:val="32"/>
      <w:lang w:val="es-CO"/>
    </w:rPr>
  </w:style>
  <w:style w:type="paragraph" w:styleId="Heading2">
    <w:name w:val="heading 2"/>
    <w:basedOn w:val="Normal"/>
    <w:next w:val="Normal"/>
    <w:autoRedefine/>
    <w:uiPriority w:val="0"/>
    <w:unhideWhenUsed/>
    <w:qFormat/>
    <w:pPr>
      <w:keepNext w:val="true"/>
      <w:keepLines/>
      <w:ind w:hanging="0"/>
      <w:jc w:val="center"/>
      <w:outlineLvl w:val="1"/>
    </w:pPr>
    <w:rPr>
      <w:rFonts w:cs="Arial"/>
      <w:b/>
      <w:bCs/>
      <w:iCs/>
      <w:szCs w:val="28"/>
      <w:lang w:val="es-CO"/>
    </w:rPr>
  </w:style>
  <w:style w:type="paragraph" w:styleId="Heading3">
    <w:name w:val="heading 3"/>
    <w:basedOn w:val="Ttulouser"/>
    <w:next w:val="BodyText"/>
    <w:autoRedefine/>
    <w:qFormat/>
    <w:pPr>
      <w:spacing w:lineRule="auto" w:line="360" w:before="0" w:after="0"/>
      <w:ind w:hanging="0"/>
      <w:outlineLvl w:val="2"/>
    </w:pPr>
    <w:rPr>
      <w:rFonts w:ascii="Times New Roman" w:hAnsi="Times New Roman" w:eastAsia="NSimSun" w:cs="Arial"/>
      <w:b/>
      <w:bCs/>
      <w:sz w:val="24"/>
      <w:szCs w:val="28"/>
    </w:rPr>
  </w:style>
  <w:style w:type="character" w:styleId="DefaultParagraphFont" w:default="1">
    <w:name w:val="Default Paragraph Font"/>
    <w:uiPriority w:val="0"/>
    <w:semiHidden/>
    <w:qFormat/>
    <w:rPr/>
  </w:style>
  <w:style w:type="character" w:styleId="Emphasis">
    <w:name w:val="Emphasis"/>
    <w:basedOn w:val="DefaultParagraphFont"/>
    <w:uiPriority w:val="0"/>
    <w:qFormat/>
    <w:rPr>
      <w:i/>
      <w:iCs/>
    </w:rPr>
  </w:style>
  <w:style w:type="character" w:styleId="Hyperlink">
    <w:name w:val="Hyperlink"/>
    <w:basedOn w:val="DefaultParagraphFont"/>
    <w:uiPriority w:val="0"/>
    <w:rPr>
      <w:color w:val="0000FF"/>
      <w:u w:val="single"/>
    </w:rPr>
  </w:style>
  <w:style w:type="character" w:styleId="FollowedHyperlink">
    <w:name w:val="FollowedHyperlink"/>
    <w:basedOn w:val="DefaultParagraphFont"/>
    <w:uiPriority w:val="0"/>
    <w:qFormat/>
    <w:rPr>
      <w:color w:val="800080"/>
      <w:u w:val="single"/>
    </w:rPr>
  </w:style>
  <w:style w:type="character" w:styleId="Strong">
    <w:name w:val="Strong"/>
    <w:basedOn w:val="DefaultParagraphFont"/>
    <w:uiPriority w:val="0"/>
    <w:qFormat/>
    <w:rPr>
      <w:b/>
      <w:bCs/>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uiPriority w:val="0"/>
    <w:qFormat/>
    <w:pPr>
      <w:tabs>
        <w:tab w:val="clear" w:pos="708"/>
        <w:tab w:val="center" w:pos="4153" w:leader="none"/>
        <w:tab w:val="right" w:pos="8306" w:leader="none"/>
      </w:tabs>
    </w:pPr>
    <w:rPr/>
  </w:style>
  <w:style w:type="paragraph" w:styleId="NormalWeb">
    <w:name w:val="Normal (Web)"/>
    <w:uiPriority w:val="0"/>
    <w:qFormat/>
    <w:pPr>
      <w:widowControl/>
      <w:suppressAutoHyphens w:val="true"/>
      <w:bidi w:val="0"/>
      <w:spacing w:beforeAutospacing="1" w:afterAutospacing="1"/>
      <w:ind w:left="0" w:right="0"/>
      <w:jc w:val="left"/>
    </w:pPr>
    <w:rPr>
      <w:rFonts w:ascii="Times New Roman" w:hAnsi="Times New Roman" w:eastAsia="SimSun" w:cs="Times New Roman"/>
      <w:color w:val="auto"/>
      <w:kern w:val="0"/>
      <w:sz w:val="24"/>
      <w:szCs w:val="24"/>
      <w:lang w:val="en-US" w:eastAsia="zh-CN" w:bidi="ar-SA"/>
    </w:rPr>
  </w:style>
  <w:style w:type="paragraph" w:styleId="Footer">
    <w:name w:val="footer"/>
    <w:basedOn w:val="Normal"/>
    <w:uiPriority w:val="0"/>
    <w:qFormat/>
    <w:pPr>
      <w:tabs>
        <w:tab w:val="clear" w:pos="708"/>
        <w:tab w:val="center" w:pos="4153" w:leader="none"/>
        <w:tab w:val="right" w:pos="8306" w:leader="none"/>
      </w:tabs>
    </w:pPr>
    <w:rPr/>
  </w:style>
  <w:style w:type="paragraph" w:styleId="Contenidodelmarco">
    <w:name w:val="Contenido del marco"/>
    <w:basedOn w:val="Normal"/>
    <w:qFormat/>
    <w:pPr/>
    <w:rPr/>
  </w:style>
  <w:style w:type="paragraph" w:styleId="Contenidodelmarcouser">
    <w:name w:val="Contenido del marco (user)"/>
    <w:basedOn w:val="Normal"/>
    <w:qFormat/>
    <w:pPr/>
    <w:rPr/>
  </w:style>
  <w:style w:type="paragraph" w:styleId="Title">
    <w:name w:val="Title"/>
    <w:basedOn w:val="Ttulouser"/>
    <w:next w:val="BodyText"/>
    <w:qFormat/>
    <w:pPr>
      <w:spacing w:lineRule="auto" w:line="360" w:before="0" w:after="0"/>
      <w:ind w:hanging="0"/>
      <w:jc w:val="center"/>
    </w:pPr>
    <w:rPr>
      <w:rFonts w:ascii="Times New Roman" w:hAnsi="Times New Roman"/>
      <w:b/>
      <w:bCs/>
      <w:sz w:val="28"/>
      <w:szCs w:val="56"/>
      <w:lang w:val="es-CO"/>
    </w:rPr>
  </w:style>
  <w:style w:type="paragraph" w:styleId="Lneahorizontaluser">
    <w:name w:val="Línea horizontal (user)"/>
    <w:basedOn w:val="Normal"/>
    <w:next w:val="BodyText"/>
    <w:qFormat/>
    <w:pPr>
      <w:suppressLineNumbers/>
      <w:pBdr>
        <w:bottom w:val="double" w:sz="2" w:space="0" w:color="808080"/>
      </w:pBdr>
      <w:spacing w:before="0" w:after="283"/>
    </w:pPr>
    <w:rPr>
      <w:sz w:val="12"/>
      <w:szCs w:val="12"/>
    </w:rPr>
  </w:style>
  <w:style w:type="table" w:default="1" w:styleId="5">
    <w:name w:val="Normal Table"/>
    <w:uiPriority w:val="0"/>
    <w:semiHidden/>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publications.iafss.org/publications/fss/7/197" TargetMode="External"/><Relationship Id="rId4" Type="http://schemas.openxmlformats.org/officeDocument/2006/relationships/hyperlink" Target="https://doi.org/10.3390/s20216272."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Application>LibreOffice/26.2.3.2$Windows_X86_64 LibreOffice_project/70e089b17412e4cb7773e41413306b17a2328c34</Application>
  <AppVersion>15.0000</AppVersion>
  <Pages>12</Pages>
  <Words>767</Words>
  <Characters>4583</Characters>
  <CharactersWithSpaces>5311</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2024-07-01T15:51:00Z</dcterms:created>
  <dc:creator>Temporal</dc:creator>
  <dc:description/>
  <dc:language>es-CO</dc:language>
  <cp:lastModifiedBy/>
  <dcterms:modified xsi:type="dcterms:W3CDTF">2026-05-13T15:46:27Z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6451872F00A4468A908935D78F7C05CC_12</vt:lpwstr>
  </property>
  <property fmtid="{D5CDD505-2E9C-101B-9397-08002B2CF9AE}" pid="3" name="KSOProductBuildVer">
    <vt:lpwstr>2058-12.2.0.23196</vt:lpwstr>
  </property>
</Properties>
</file>