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heading=h.ioaawai3nap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FORMATO 11 — AUTORIZACIÓN PARA EL TRATAMIENTO DE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3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4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Calle 19 No. 21-44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color w:val="3b383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b3838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Proceso de contratación No.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  <w:highlight w:val="lightGray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MANTENIMIENTO Y REHABILITACIÓN DE LA INFRAESTRUCTURA VIAL URBANA, MEDIANTE LA REPARACIÓN Y CONSTRUCCIÓN DE PAVIMENTOS Y PEATONALES, QUE COMPRENDE LOS BARRIOS EUCALIPTUS, GONZALEZ, GUAMAL, ISABELA, MARMATO, NEVADO, PALMAR, PANAMERICANA, PRADO, URIBE, VELEZ, DE LA CIUDAD DE MANIZALES POR MONTO AGOTABLE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Cumpliendo la Ley 1581 de 2012 “Por el cual se dictan disposiciones para la protección de datos personales” y conforme al Decreto 1377 de 2013, con la firma de este documento manifiesto que he sido informado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lo siguiente: </w:t>
      </w:r>
    </w:p>
    <w:p w:rsidR="00000000" w:rsidDel="00000000" w:rsidP="00000000" w:rsidRDefault="00000000" w:rsidRPr="00000000" w14:paraId="0000000C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actuará como responsable del tratamiento de datos personales de los cuales soy titular y que conjunta o separadamente podrá recolectar, almacenar y usarlos para hacer efectivo el factor de desempate previsto en el numeral 4.8, subnumerales 2, 5, 6 y 7 del Pliego de Condiciones, relacionados con la acreditación de ser víctima de violencia intrafamiliar, persona perteneciente a la población indígena, negra, afrocolombiana raizal, palenquera, Rrom, o gitanas, o persona en proceso de reintegración o reincorporación. </w:t>
      </w:r>
    </w:p>
    <w:p w:rsidR="00000000" w:rsidDel="00000000" w:rsidP="00000000" w:rsidRDefault="00000000" w:rsidRPr="00000000" w14:paraId="0000000E">
      <w:pPr>
        <w:tabs>
          <w:tab w:val="left" w:leader="none" w:pos="-142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04.000000000001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88"/>
        <w:gridCol w:w="2008"/>
        <w:gridCol w:w="2008"/>
        <w:tblGridChange w:id="0">
          <w:tblGrid>
            <w:gridCol w:w="3388"/>
            <w:gridCol w:w="2008"/>
            <w:gridCol w:w="2008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F">
            <w:pPr>
              <w:tabs>
                <w:tab w:val="left" w:leader="none" w:pos="-14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tabs>
                <w:tab w:val="left" w:leader="none" w:pos="-142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Autoriza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-142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-142"/>
              </w:tabs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Hacer efectivo el factor de desempate para la acreditación de una mujer víctima de violencia intrafamiliar, persona perteneciente a la población indígena, negra, afrocolombiana raizal, palenquera, Rrom, o gitanas, o persona en proceso de reintegración o reincorporación.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-142"/>
              </w:tabs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-142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Entiendo que son datos sensibles aquellos que afectan la intimidad del titular o cuyo uso indebido puede generar discriminación, tales como aquellos que revelen el origen racial o étnico, la orientación política, las convicciones religiosas o filosóficas, la pertenencia a sindicatos, organizaciones sociales, de derechos humanos o que promueva intereses de cualquier partido político o que garanticen los derechos y garantías de partidos políticos de oposición así como los datos relativos con la salud, la vida sexual y los datos biométricos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-142"/>
        </w:tabs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Manifiesto que me informaron que los datos sensibles que se recolectarán serán utilizados para hacer efectivo el criterio de desempate previsto en el numeral 4.8, subnumerales 2, 5, 6 y 7 del Pliego de Condiciones, relacionados con la acreditación de ser víctima de violencia intrafamiliar, integrante de la población indígena, negra, afrocolombiana raizal, palenquera, Rrom, o gitanas, o persona en proceso de reintegración o reincorporación. </w:t>
      </w:r>
    </w:p>
    <w:p w:rsidR="00000000" w:rsidDel="00000000" w:rsidP="00000000" w:rsidRDefault="00000000" w:rsidRPr="00000000" w14:paraId="00000020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Derechos del titular</w:t>
      </w:r>
    </w:p>
    <w:p w:rsidR="00000000" w:rsidDel="00000000" w:rsidP="00000000" w:rsidRDefault="00000000" w:rsidRPr="00000000" w14:paraId="00000022">
      <w:pPr>
        <w:tabs>
          <w:tab w:val="left" w:leader="none" w:pos="-142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Sus derechos como titular de los datos son los previstos en la Constitución y en la Ley 1581 de 2012, especialmente los siguientes: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Acceder en forma gratuita a los datos proporcionados que hayan sido objeto de tratamiento. 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Solicitar la actualización y rectificación de su información frente a los datos parciales, inexactos, incompletos. 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Solicitar prueba de la autorización otorgada. 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Presentar ante la Superintendencia de Industria y Comercio quejas por infracciones a lo dispuesto en la normatividad vigente. 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Revocar la autorización y/o solicitar la supresión del dato, a menos que exista un deber legal o contractual que haga imperativo conservar la información. 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Abstenerse de responder las preguntas sobre datos sensibles o sobre datos de las niñas y niños y adolescentes. 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Estos derechos los podré ejercer mediante los canales o medios dispuestos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la atención al público, la línea de atención nacional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01 8000 968 988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, el correo electrónico contacto@manizales.gov.co. y las oficinas de atención al cliente a nivel nacional, cuya información puedo consultar en https://manizales.gov.co/, disponibles de 7:00 a.m. a 12:00 p.m. y 1:30 p.m. a 4:30 p.m. 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todo lo anterior, he otorgado mi consentimiento a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MUNICIPIO DE MANIZALES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que trate mi información personal de acuerdo con la Política de Tratamiento de Datos Personales dispuesta en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https://manizales.gov.co/transparencia-y-acceso-informacion-publica/politicas/politicas-y-co ndiciones/politica-de-tratamiento-de-datos/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que me dio a conocer antes de recolectarlos. 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Manifiesto que la presente autorización me fue solicitada y puesta de presente antes de entregar mis datos y que la suscribo de forma libre y voluntaria una vez leída en su totalidad.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MANUELA BENÍTEZ MARTÍNEZ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114300</wp:posOffset>
            </wp:positionV>
            <wp:extent cx="1634066" cy="6120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4066" cy="612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Identificación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1053856951 de Manizales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25/03/2026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835.0" w:type="dxa"/>
      <w:jc w:val="left"/>
      <w:tblLayout w:type="fixed"/>
      <w:tblLook w:val="0600"/>
    </w:tblPr>
    <w:tblGrid>
      <w:gridCol w:w="2945"/>
      <w:gridCol w:w="2945"/>
      <w:gridCol w:w="2945"/>
      <w:tblGridChange w:id="0">
        <w:tblGrid>
          <w:gridCol w:w="2945"/>
          <w:gridCol w:w="2945"/>
          <w:gridCol w:w="294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A">
          <w:pPr>
            <w:ind w:left="-115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B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C">
          <w:pPr>
            <w:ind w:right="-115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3884.0000000000005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46"/>
      <w:gridCol w:w="1876"/>
      <w:gridCol w:w="964"/>
      <w:gridCol w:w="298"/>
      <w:tblGridChange w:id="0">
        <w:tblGrid>
          <w:gridCol w:w="746"/>
          <w:gridCol w:w="1876"/>
          <w:gridCol w:w="964"/>
          <w:gridCol w:w="298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E">
          <w:pPr>
            <w:spacing w:after="4"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F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CCE-EICP-FM-77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50">
          <w:pPr>
            <w:spacing w:after="4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51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49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tbl>
    <w:tblPr>
      <w:tblStyle w:val="Table2"/>
      <w:tblW w:w="8828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88"/>
      <w:gridCol w:w="4654"/>
      <w:gridCol w:w="952"/>
      <w:gridCol w:w="2034"/>
      <w:tblGridChange w:id="0">
        <w:tblGrid>
          <w:gridCol w:w="1188"/>
          <w:gridCol w:w="4654"/>
          <w:gridCol w:w="952"/>
          <w:gridCol w:w="2034"/>
        </w:tblGrid>
      </w:tblGridChange>
    </w:tblGrid>
    <w:tr>
      <w:trPr>
        <w:cantSplit w:val="0"/>
        <w:trHeight w:val="137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11 – AUTORIZACIÓN PARA EL TRATAMIENTO DE DATOS PERSONALES</w:t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INFRAESTRUCTURA DE TRANSPORTE (VERSIÓN 4)</w:t>
          </w:r>
        </w:p>
      </w:tc>
    </w:tr>
    <w:tr>
      <w:trPr>
        <w:cantSplit w:val="0"/>
        <w:trHeight w:val="219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0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1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CCE-EICP-FM-77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2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3">
          <w:pPr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4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45">
          <w:pPr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49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3F054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3F0542"/>
  </w:style>
  <w:style w:type="paragraph" w:styleId="Piedepgina">
    <w:name w:val="footer"/>
    <w:basedOn w:val="Normal"/>
    <w:link w:val="PiedepginaCar"/>
    <w:uiPriority w:val="99"/>
    <w:unhideWhenUsed w:val="1"/>
    <w:rsid w:val="003F054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F0542"/>
  </w:style>
  <w:style w:type="table" w:styleId="Cuadrculadetablaclara1" w:customStyle="1">
    <w:name w:val="Cuadrícula de tabla clara1"/>
    <w:basedOn w:val="Tablanormal"/>
    <w:next w:val="Tablaconcuadrculaclara1"/>
    <w:uiPriority w:val="99"/>
    <w:rsid w:val="003F0542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1" w:customStyle="1">
    <w:name w:val="Tabla con cuadrícula clara1"/>
    <w:basedOn w:val="Tablanormal"/>
    <w:uiPriority w:val="40"/>
    <w:rsid w:val="003F0542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1" w:customStyle="1">
    <w:name w:val="Tabla normal 11"/>
    <w:basedOn w:val="Tablanormal"/>
    <w:next w:val="Tablanormal12"/>
    <w:uiPriority w:val="41"/>
    <w:rsid w:val="003F0542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anormal12" w:customStyle="1">
    <w:name w:val="Tabla normal 12"/>
    <w:basedOn w:val="Tablanormal"/>
    <w:uiPriority w:val="41"/>
    <w:rsid w:val="003F0542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339DE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339DE"/>
    <w:rPr>
      <w:rFonts w:ascii="Lucida Grande" w:cs="Lucida Grande" w:hAnsi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F41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AF411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AF411C"/>
    <w:rPr>
      <w:sz w:val="20"/>
      <w:szCs w:val="20"/>
    </w:rPr>
  </w:style>
  <w:style w:type="paragraph" w:styleId="Revisin">
    <w:name w:val="Revision"/>
    <w:hidden w:val="1"/>
    <w:uiPriority w:val="99"/>
    <w:semiHidden w:val="1"/>
    <w:rsid w:val="008B21D1"/>
    <w:pPr>
      <w:spacing w:after="0" w:line="240" w:lineRule="auto"/>
    </w:pPr>
  </w:style>
  <w:style w:type="paragraph" w:styleId="Prrafodelista">
    <w:name w:val="List Paragraph"/>
    <w:basedOn w:val="Normal"/>
    <w:uiPriority w:val="34"/>
    <w:qFormat w:val="1"/>
    <w:rsid w:val="00CD7CA6"/>
    <w:pPr>
      <w:ind w:left="720"/>
      <w:contextualSpacing w:val="1"/>
    </w:pPr>
  </w:style>
  <w:style w:type="character" w:styleId="Mencionar">
    <w:name w:val="Mention"/>
    <w:basedOn w:val="Fuentedeprrafopredeter"/>
    <w:uiPriority w:val="99"/>
    <w:unhideWhenUsed w:val="1"/>
    <w:rsid w:val="00935EEB"/>
    <w:rPr>
      <w:color w:val="2b579a"/>
      <w:shd w:color="auto" w:fill="e1dfdd" w:val="cle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35EE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35EEB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EFiCTxDFfX3egX0gRdCFiCnKYw==">CgMxLjAyDmguaW9hYXdhaTNuYXBqOAByITE5cS1VTEJwb2thaENwZUlKRnBzUVNvRW4tRkhVUlhKMQ==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2022-08-02T17:16:00.0000000Z</dcterms:created>
  <dc:creator>Sara Milena Nuñez Aldana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