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LavCom Manager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Presencial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Juan Manuel Olivares Jimenez</w:t>
            </w: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Colaboración del equipo</w:t>
            </w:r>
            <w:r w:rsidDel="00000000" w:rsidR="00000000" w:rsidRPr="00000000">
              <w:rPr>
                <w:rFonts w:ascii="Arial" w:cs="Arial" w:eastAsia="Arial" w:hAnsi="Arial"/>
                <w:sz w:val="24"/>
                <w:szCs w:val="24"/>
                <w:rtl w:val="0"/>
              </w:rPr>
              <w:t xml:space="preserve">: El equipo logró una excelente coordinación durante la creación de los artefactos de diseño, como las vistas de despliegue, lógica, física, y de procesos. La planificación con </w:t>
            </w:r>
            <w:r w:rsidDel="00000000" w:rsidR="00000000" w:rsidRPr="00000000">
              <w:rPr>
                <w:rFonts w:ascii="Arial" w:cs="Arial" w:eastAsia="Arial" w:hAnsi="Arial"/>
                <w:i w:val="1"/>
                <w:sz w:val="24"/>
                <w:szCs w:val="24"/>
                <w:rtl w:val="0"/>
              </w:rPr>
              <w:t xml:space="preserve">Planning Poker</w:t>
            </w:r>
            <w:r w:rsidDel="00000000" w:rsidR="00000000" w:rsidRPr="00000000">
              <w:rPr>
                <w:rFonts w:ascii="Arial" w:cs="Arial" w:eastAsia="Arial" w:hAnsi="Arial"/>
                <w:sz w:val="24"/>
                <w:szCs w:val="24"/>
                <w:rtl w:val="0"/>
              </w:rPr>
              <w:t xml:space="preserve"> ayudó a una estimación más precisa del esfuerzo requerido para completar las tareas, mejorando la organización del backlog​​.</w:t>
            </w:r>
          </w:p>
          <w:p w:rsidR="00000000" w:rsidDel="00000000" w:rsidP="00000000" w:rsidRDefault="00000000" w:rsidRPr="00000000" w14:paraId="0000002D">
            <w:pPr>
              <w:numPr>
                <w:ilvl w:val="0"/>
                <w:numId w:val="6"/>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Mockups</w:t>
            </w:r>
            <w:r w:rsidDel="00000000" w:rsidR="00000000" w:rsidRPr="00000000">
              <w:rPr>
                <w:rFonts w:ascii="Arial" w:cs="Arial" w:eastAsia="Arial" w:hAnsi="Arial"/>
                <w:sz w:val="24"/>
                <w:szCs w:val="24"/>
                <w:rtl w:val="0"/>
              </w:rPr>
              <w:t xml:space="preserve">: Los </w:t>
            </w:r>
            <w:r w:rsidDel="00000000" w:rsidR="00000000" w:rsidRPr="00000000">
              <w:rPr>
                <w:rFonts w:ascii="Arial" w:cs="Arial" w:eastAsia="Arial" w:hAnsi="Arial"/>
                <w:i w:val="1"/>
                <w:sz w:val="24"/>
                <w:szCs w:val="24"/>
                <w:rtl w:val="0"/>
              </w:rPr>
              <w:t xml:space="preserve">mockups</w:t>
            </w:r>
            <w:r w:rsidDel="00000000" w:rsidR="00000000" w:rsidRPr="00000000">
              <w:rPr>
                <w:rFonts w:ascii="Arial" w:cs="Arial" w:eastAsia="Arial" w:hAnsi="Arial"/>
                <w:sz w:val="24"/>
                <w:szCs w:val="24"/>
                <w:rtl w:val="0"/>
              </w:rPr>
              <w:t xml:space="preserve"> tanto del sistema de lavandería como del sistema de alimentación fueron completados con alta calidad visual y funcional, proporcionando una base sólida para las futuras iteraciones​.</w:t>
            </w:r>
          </w:p>
          <w:p w:rsidR="00000000" w:rsidDel="00000000" w:rsidP="00000000" w:rsidRDefault="00000000" w:rsidRPr="00000000" w14:paraId="0000002E">
            <w:pPr>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Definición clara de la lógica del sistema</w:t>
            </w:r>
            <w:r w:rsidDel="00000000" w:rsidR="00000000" w:rsidRPr="00000000">
              <w:rPr>
                <w:rFonts w:ascii="Arial" w:cs="Arial" w:eastAsia="Arial" w:hAnsi="Arial"/>
                <w:sz w:val="24"/>
                <w:szCs w:val="24"/>
                <w:rtl w:val="0"/>
              </w:rPr>
              <w:t xml:space="preserve">: La creación de las vistas lógicas y físicas ayudó a visualizar cómo se integrarán los módulos en el sistema general del hospital, lo que permitirá detectar fallos de diseño o implementación en etapas tempranas.</w:t>
            </w:r>
          </w:p>
          <w:p w:rsidR="00000000" w:rsidDel="00000000" w:rsidP="00000000" w:rsidRDefault="00000000" w:rsidRPr="00000000" w14:paraId="0000002F">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 Mapping y Customer Journey</w:t>
            </w:r>
            <w:r w:rsidDel="00000000" w:rsidR="00000000" w:rsidRPr="00000000">
              <w:rPr>
                <w:rFonts w:ascii="Arial" w:cs="Arial" w:eastAsia="Arial" w:hAnsi="Arial"/>
                <w:sz w:val="24"/>
                <w:szCs w:val="24"/>
                <w:rtl w:val="0"/>
              </w:rPr>
              <w:t xml:space="preserve">: Se logró una comprensión clara del impacto que tendrá el proyecto, al igual que un análisis del recorrido del usuario para asegurar que se cubren todas las necesidades del personal del hospital​.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Retrasos en la definición del Mapa de Procesos</w:t>
            </w:r>
            <w:r w:rsidDel="00000000" w:rsidR="00000000" w:rsidRPr="00000000">
              <w:rPr>
                <w:rFonts w:ascii="Arial" w:cs="Arial" w:eastAsia="Arial" w:hAnsi="Arial"/>
                <w:sz w:val="24"/>
                <w:szCs w:val="24"/>
                <w:rtl w:val="0"/>
              </w:rPr>
              <w:t xml:space="preserve">: Aunque se completaron las vistas de despliegue y lógica, la definición de los procesos no se detalló lo suficiente, generando confusión en algunas tareas del equipo y retrasando la implementación de los mockups​.</w:t>
            </w:r>
          </w:p>
          <w:p w:rsidR="00000000" w:rsidDel="00000000" w:rsidP="00000000" w:rsidRDefault="00000000" w:rsidRPr="00000000" w14:paraId="00000033">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Falta de claridad en algunos requisitos del módulo de lavandería</w:t>
            </w:r>
            <w:r w:rsidDel="00000000" w:rsidR="00000000" w:rsidRPr="00000000">
              <w:rPr>
                <w:rFonts w:ascii="Arial" w:cs="Arial" w:eastAsia="Arial" w:hAnsi="Arial"/>
                <w:sz w:val="24"/>
                <w:szCs w:val="24"/>
                <w:rtl w:val="0"/>
              </w:rPr>
              <w:t xml:space="preserve">: En la fase de diseño de los mockups del sistema de lavandería, surgieron dudas sobre las necesidades específicas del personal y los usuarios. Esto afectó la definición de algunas historias de usuario y se necesitará tiempo extra en la siguiente iteración para aclarar los requerimientos​.</w:t>
            </w:r>
          </w:p>
          <w:p w:rsidR="00000000" w:rsidDel="00000000" w:rsidP="00000000" w:rsidRDefault="00000000" w:rsidRPr="00000000" w14:paraId="00000034">
            <w:pPr>
              <w:numPr>
                <w:ilvl w:val="0"/>
                <w:numId w:val="5"/>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Falta de sincronización entre los módulos</w:t>
            </w:r>
            <w:r w:rsidDel="00000000" w:rsidR="00000000" w:rsidRPr="00000000">
              <w:rPr>
                <w:rFonts w:ascii="Arial" w:cs="Arial" w:eastAsia="Arial" w:hAnsi="Arial"/>
                <w:sz w:val="24"/>
                <w:szCs w:val="24"/>
                <w:rtl w:val="0"/>
              </w:rPr>
              <w:t xml:space="preserve">: Hubo cierta desconexión entre el equipo de alimentación y el de lavandería en términos de integración de los artefactos, lo que dificultó ver cómo ambos sistemas se alinean en el software final. La falta de integración se notó especialmente en los mockups y las vistas físicas del sistema.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36">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Mayor atención en la sincronización entre equipo</w:t>
            </w:r>
            <w:r w:rsidDel="00000000" w:rsidR="00000000" w:rsidRPr="00000000">
              <w:rPr>
                <w:rFonts w:ascii="Arial" w:cs="Arial" w:eastAsia="Arial" w:hAnsi="Arial"/>
                <w:sz w:val="24"/>
                <w:szCs w:val="24"/>
                <w:rtl w:val="0"/>
              </w:rPr>
              <w:t xml:space="preserve">: Se debe mejorar la comunicación y la colaboración entre los equipos de alimentación y lavandería. Proponer reuniones diarias entre los equipos para asegurar que se están alineando los requisitos y los desarrollos en ambos módulos​.</w:t>
            </w:r>
          </w:p>
          <w:p w:rsidR="00000000" w:rsidDel="00000000" w:rsidP="00000000" w:rsidRDefault="00000000" w:rsidRPr="00000000" w14:paraId="00000037">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Refinar los requerimientos y procesos</w:t>
            </w:r>
            <w:r w:rsidDel="00000000" w:rsidR="00000000" w:rsidRPr="00000000">
              <w:rPr>
                <w:rFonts w:ascii="Arial" w:cs="Arial" w:eastAsia="Arial" w:hAnsi="Arial"/>
                <w:sz w:val="24"/>
                <w:szCs w:val="24"/>
                <w:rtl w:val="0"/>
              </w:rPr>
              <w:t xml:space="preserve">: Para la próxima iteración, es necesario dedicar más tiempo a definir claramente los requisitos del módulo de lavandería. Aclarar las historias de usuario asociadas a este módulo y detallar mejor los procesos para evitar confusiones futuras​.</w:t>
            </w:r>
          </w:p>
          <w:p w:rsidR="00000000" w:rsidDel="00000000" w:rsidP="00000000" w:rsidRDefault="00000000" w:rsidRPr="00000000" w14:paraId="00000038">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b w:val="1"/>
                <w:sz w:val="24"/>
                <w:szCs w:val="24"/>
                <w:rtl w:val="0"/>
              </w:rPr>
              <w:t xml:space="preserve">Revisión continua del backlog</w:t>
            </w:r>
            <w:r w:rsidDel="00000000" w:rsidR="00000000" w:rsidRPr="00000000">
              <w:rPr>
                <w:rFonts w:ascii="Arial" w:cs="Arial" w:eastAsia="Arial" w:hAnsi="Arial"/>
                <w:sz w:val="24"/>
                <w:szCs w:val="24"/>
                <w:rtl w:val="0"/>
              </w:rPr>
              <w:t xml:space="preserve">: Es recomendable revisar más a fondo el backlog durante las reuniones diarias. El equipo debe identificar potenciales impedimentos con mayor anticipación para evitarlos antes de que causen retrasos.</w:t>
            </w:r>
          </w:p>
          <w:p w:rsidR="00000000" w:rsidDel="00000000" w:rsidP="00000000" w:rsidRDefault="00000000" w:rsidRPr="00000000" w14:paraId="00000039">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Iterar sobre el Customer Journey</w:t>
            </w:r>
            <w:r w:rsidDel="00000000" w:rsidR="00000000" w:rsidRPr="00000000">
              <w:rPr>
                <w:rFonts w:ascii="Arial" w:cs="Arial" w:eastAsia="Arial" w:hAnsi="Arial"/>
                <w:sz w:val="24"/>
                <w:szCs w:val="24"/>
                <w:rtl w:val="0"/>
              </w:rPr>
              <w:t xml:space="preserve">: Es necesario realizar una validación con usuarios reales del hospital, especialmente los involucrados en la lavandería, para asegurarse de que el Mapa de Viaje cubre todos los escenarios posibles y mejorar los puntos críticos de interacción​.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0">
      <w:pPr>
        <w:numPr>
          <w:ilvl w:val="0"/>
          <w:numId w:val="7"/>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1">
      <w:pPr>
        <w:numPr>
          <w:ilvl w:val="0"/>
          <w:numId w:val="7"/>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42">
      <w:pPr>
        <w:spacing w:after="0" w:line="240" w:lineRule="auto"/>
        <w:ind w:left="0" w:firstLine="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Impediment Log</w:t>
      </w:r>
    </w:p>
    <w:p w:rsidR="00000000" w:rsidDel="00000000" w:rsidP="00000000" w:rsidRDefault="00000000" w:rsidRPr="00000000" w14:paraId="00000044">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45">
      <w:pPr>
        <w:spacing w:after="0" w:line="240" w:lineRule="auto"/>
        <w:jc w:val="center"/>
        <w:rPr>
          <w:rFonts w:ascii="Arial" w:cs="Arial" w:eastAsia="Arial" w:hAnsi="Arial"/>
          <w:b w:val="1"/>
          <w:sz w:val="36"/>
          <w:szCs w:val="36"/>
        </w:rPr>
      </w:pPr>
      <w:r w:rsidDel="00000000" w:rsidR="00000000" w:rsidRPr="00000000">
        <w:rPr>
          <w:rtl w:val="0"/>
        </w:rPr>
      </w:r>
    </w:p>
    <w:sdt>
      <w:sdtPr>
        <w:lock w:val="contentLocked"/>
        <w:tag w:val="goog_rdk_0"/>
      </w:sdtPr>
      <w:sdtContent>
        <w:tbl>
          <w:tblPr>
            <w:tblStyle w:val="Table4"/>
            <w:tblW w:w="1243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8.5"/>
            <w:gridCol w:w="6218.5"/>
            <w:tblGridChange w:id="0">
              <w:tblGrid>
                <w:gridCol w:w="6218.5"/>
                <w:gridCol w:w="6218.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Internos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claridad en los requisitos del módulo de lavandería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Problemas técnicos con el software de diseño de mockups</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Retrasos debido a la ausencia de un miembro clave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acceso a los sistemas del cliente (hospital)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Desacuerdo entre equipos sobre las prioridades del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Cambios inesperados en las prioridades del cliente</w:t>
                </w:r>
              </w:p>
            </w:tc>
          </w:tr>
        </w:tbl>
      </w:sdtContent>
    </w:sdt>
    <w:p w:rsidR="00000000" w:rsidDel="00000000" w:rsidP="00000000" w:rsidRDefault="00000000" w:rsidRPr="00000000" w14:paraId="0000004E">
      <w:pPr>
        <w:spacing w:after="0" w:line="240" w:lineRule="auto"/>
        <w:jc w:val="center"/>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Z40e1lKyaKNtPkkw89idScArA==">CgMxLjAaHwoBMBIaChgICVIUChJ0YWJsZS5hajIwc2M0NjNhMXA4AHIhMU1mMVJ0U0h1azZORXZ3WjhJd1FNODFITVd5bUtpaV9F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