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b/>
          <w:bCs/>
          <w:color w:val="1A1A1A"/>
          <w:sz w:val="44"/>
          <w:szCs w:val="44"/>
          <w:highlight w:val="yellow"/>
          <w:highlightCs w:val="yellow"/>
        </w:rPr>
        <w:t xml:space="preserve">  UDEM  </w:t>
      </w:r>
    </w:p>
    <w:p>
      <w:pPr>
        <w:spacing w:after="360"/>
      </w:pPr>
    </w:p>
    <w:p>
      <w:pPr>
        <w:spacing w:after="340"/>
        <w:jc w:val="center"/>
      </w:pPr>
      <w:r>
        <w:rPr>
          <w:b/>
          <w:bCs/>
          <w:sz w:val="26"/>
          <w:szCs w:val="26"/>
        </w:rPr>
        <w:t xml:space="preserve">UNIVERSIDAD DE MONTERREY</w:t>
      </w:r>
    </w:p>
    <w:p>
      <w:pPr>
        <w:spacing w:after="340"/>
        <w:jc w:val="center"/>
      </w:pPr>
      <w:r>
        <w:rPr>
          <w:b/>
          <w:bCs/>
          <w:sz w:val="24"/>
          <w:szCs w:val="24"/>
        </w:rPr>
        <w:t xml:space="preserve">Integración de aplicaciones computacionales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Proyecto 4. Plataforma de Bienestar Laboral y Prevención de Burnout (EQUIPO 03)</w:t>
      </w:r>
    </w:p>
    <w:p>
      <w:pPr>
        <w:spacing w:after="520"/>
        <w:jc w:val="center"/>
      </w:pPr>
      <w:r>
        <w:rPr>
          <w:b/>
          <w:bCs/>
          <w:sz w:val="24"/>
          <w:szCs w:val="24"/>
        </w:rPr>
        <w:t xml:space="preserve">Actores del Sistema y Matriz de Perfiles y Permisos</w:t>
      </w:r>
    </w:p>
    <w:p>
      <w:pPr>
        <w:spacing w:after="5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Integrantes:</w:t>
      </w:r>
    </w:p>
    <w:p>
      <w:pPr>
        <w:spacing w:after="60"/>
      </w:pPr>
      <w:r>
        <w:rPr>
          <w:sz w:val="22"/>
          <w:szCs w:val="22"/>
        </w:rPr>
        <w:t xml:space="preserve">Emiliano Pascual Piñales Sánchez #657657</w:t>
      </w:r>
    </w:p>
    <w:p>
      <w:pPr>
        <w:spacing w:after="60"/>
      </w:pPr>
      <w:r>
        <w:rPr>
          <w:sz w:val="22"/>
          <w:szCs w:val="22"/>
        </w:rPr>
        <w:t xml:space="preserve">Gerardo Quiroga Ramírez #650313</w:t>
      </w:r>
    </w:p>
    <w:p>
      <w:pPr>
        <w:spacing w:after="60"/>
      </w:pPr>
      <w:r>
        <w:rPr>
          <w:sz w:val="22"/>
          <w:szCs w:val="22"/>
        </w:rPr>
        <w:t xml:space="preserve">Ricardo Arath Sánchez Aguirre #583928</w:t>
      </w:r>
    </w:p>
    <w:p>
      <w:pPr>
        <w:spacing w:after="60"/>
      </w:pPr>
      <w:r>
        <w:rPr>
          <w:sz w:val="22"/>
          <w:szCs w:val="22"/>
        </w:rPr>
        <w:t xml:space="preserve">Juan Pablo Ramos Salazar #610248</w:t>
      </w:r>
    </w:p>
    <w:p>
      <w:pPr>
        <w:spacing w:after="4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“Damos nuestra palabra que hemos realizado esta actividad con integridad académica”</w:t>
      </w:r>
    </w:p>
    <w:p>
      <w:r>
        <w:br w:type="page"/>
      </w:r>
    </w:p>
    <w:p>
      <w:pPr>
        <w:pStyle w:val="Heading1"/>
        <w:spacing w:after="150" w:before="200"/>
      </w:pPr>
      <w:r>
        <w:t xml:space="preserve">Contenido</w:t>
      </w:r>
    </w:p>
    <w:p>
      <w:pPr>
        <w:spacing w:after="150"/>
      </w:pPr>
      <w:r>
        <w:rPr>
          <w:i/>
          <w:iCs/>
          <w:color w:val="808080"/>
          <w:sz w:val="18"/>
          <w:szCs w:val="18"/>
        </w:rPr>
        <w:t xml:space="preserve">Para actualizar el índice en Word: clic derecho sobre la tabla → Actualizar campos → Actualizar toda la tabla.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 del documento</w:t>
      </w:r>
    </w:p>
    <w:p>
      <w:pPr>
        <w:spacing w:after="160"/>
        <w:jc w:val="both"/>
      </w:pPr>
      <w:r>
        <w:t xml:space="preserve">Este documento define, para el primer parcial del Proyecto 4, quiénes interactúan con la Plataforma de Bienestar Laboral y Prevención de Burnout y qué puede hacer cada uno dentro del proceso principal de negocio (MPF): la encuesta de bienestar con consentimiento previo y agregación protegida por umbral mínimo de grupo y privacidad diferencial.</w:t>
      </w:r>
    </w:p>
    <w:p>
      <w:pPr>
        <w:spacing w:after="160"/>
        <w:jc w:val="both"/>
      </w:pPr>
      <w:r>
        <w:t xml:space="preserve">El contenido de este documento se deriva directamente de las decisiones de diseño D-01 a D-09 registradas en el Documento de Análisis del Problema y Delimitación del Alcance, en particular D-01 (separación de identidad y respuestas mediante seudónimo), D-02 (consentimiento versionado con historial) y D-04 (ningún perfil con autoridad laboral puede acceder a datos individuales).</w:t>
      </w:r>
    </w:p>
    <w:p>
      <w:pPr>
        <w:spacing w:after="160"/>
        <w:jc w:val="both"/>
      </w:pPr>
      <w:r>
        <w:t xml:space="preserve">Con la matriz de perfiles y permisos cerrada, el equipo puede avanzar de forma desbloqueada hacia: el modelo de datos de PostgreSQL (tablas de usuarios, roles y permisos), el control de acceso del sistema web (login diferenciado y menú por perfil), y las reglas de negocio del siguiente entregable.</w:t>
      </w:r>
    </w:p>
    <w:p>
      <w:pPr>
        <w:pStyle w:val="Heading1"/>
        <w:spacing w:after="160" w:before="320"/>
      </w:pPr>
      <w:r>
        <w:t xml:space="preserve">2. Actores del sistema</w:t>
      </w:r>
    </w:p>
    <w:p>
      <w:pPr>
        <w:spacing w:after="160"/>
        <w:jc w:val="both"/>
      </w:pPr>
      <w:r>
        <w:t xml:space="preserve">El sistema implementa cinco perfiles en la tabla usuarios.perfil. El Comité NOM-035 y la Dirección General son órganos de la organización, no perfiles adicionales: operan con perfiles existentes delimitados por el alcance organizacional que se asigna a cada asignación de perfil. Se describen aquí por separado porque sus intereses y su responsabilidad son distintos, pero el modelo de datos no crea un renglón para ellos. Todos, salvo el Colaborador, quedan sujetos a la restricción de la decisión D-04: ningún perfil con autoridad laboral sobre una persona puede llegar a su dato individual, sin importar el nivel jerárquico.</w:t>
      </w:r>
    </w:p>
    <w:p>
      <w:pPr>
        <w:pStyle w:val="Heading2"/>
        <w:spacing w:after="120" w:before="240"/>
      </w:pPr>
      <w:r>
        <w:t xml:space="preserve">2.1 Colaborador</w:t>
      </w:r>
    </w:p>
    <w:p>
      <w:pPr>
        <w:spacing w:after="160"/>
        <w:jc w:val="both"/>
      </w:pPr>
      <w:r>
        <w:t xml:space="preserve">Empleado de Nexum Servicios Corporativos que responde la encuesta de bienestar. Es el actor con menor privilegio de acceso a datos, pero el único dueño de su propio consentimiento.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Responder honestamente sin temor a ser identificado; poder revisar y revocar su consentimiento cuando lo decida.</w:t>
      </w:r>
    </w:p>
    <w:p>
      <w:pPr>
        <w:pStyle w:val="Heading2"/>
        <w:spacing w:after="120" w:before="240"/>
      </w:pPr>
      <w:r>
        <w:t xml:space="preserve">2.2 Líder de unidad</w:t>
      </w:r>
    </w:p>
    <w:p>
      <w:pPr>
        <w:spacing w:after="160"/>
        <w:jc w:val="both"/>
      </w:pPr>
      <w:r>
        <w:t xml:space="preserve">Responsable operativo de un equipo dentro de un área y turno. No tiene autoridad para evaluar personas individualmente en materia de bienestar.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Ver el estado de participación y los resultados agregados protegidos de su unidad. El valor que recibe lleva ruido de Laplace y solo se publica cuando el grupo alcanza el umbral mínimo (k = 5) y queda presupuesto de privacidad disponible.</w:t>
      </w:r>
    </w:p>
    <w:p>
      <w:pPr>
        <w:pStyle w:val="Heading2"/>
        <w:spacing w:after="120" w:before="240"/>
      </w:pPr>
      <w:r>
        <w:t xml:space="preserve">2.3 Especialista de Bienestar Laboral (RRHH)</w:t>
      </w:r>
    </w:p>
    <w:p>
      <w:pPr>
        <w:spacing w:after="160"/>
        <w:jc w:val="both"/>
      </w:pPr>
      <w:r>
        <w:t xml:space="preserve">Perfil funcional de Recursos Humanos encargado de administrar los catálogos del proceso y dar seguimiento institucional al programa de bienestar.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Configurar instrumentos y reactivos, dar de alta unidades organizacionales, consultar reportes agregados a nivel de la organización.</w:t>
      </w:r>
    </w:p>
    <w:p>
      <w:pPr>
        <w:pStyle w:val="Heading2"/>
        <w:spacing w:after="120" w:before="240"/>
      </w:pPr>
      <w:r>
        <w:t xml:space="preserve">2.4 Administrador del Sistema</w:t>
      </w:r>
    </w:p>
    <w:p>
      <w:pPr>
        <w:spacing w:after="160"/>
        <w:jc w:val="both"/>
      </w:pPr>
      <w:r>
        <w:t xml:space="preserve">Perfil técnico responsable de la operación de la plataforma: altas y bajas de usuarios, asignación de roles y parametrización de los valores de privacidad —umbral k, épsilon por consulta y presupuesto de épsilon por campaña y unidad.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Mantener el sistema operando de forma correcta y segura, sin necesidad de ver el contenido de las respuestas.</w:t>
      </w:r>
    </w:p>
    <w:p>
      <w:pPr>
        <w:pStyle w:val="Heading2"/>
        <w:spacing w:after="120" w:before="240"/>
      </w:pPr>
      <w:r>
        <w:t xml:space="preserve">2.5 Auditor de Cumplimiento</w:t>
      </w:r>
    </w:p>
    <w:p>
      <w:pPr>
        <w:spacing w:after="160"/>
        <w:jc w:val="both"/>
      </w:pPr>
      <w:r>
        <w:t xml:space="preserve">Perfil de control interno que verifica que el proceso cumple con NOM-035-STPS-2018 y la LFPDPPP, revisando bitácoras y el historial de consentimientos.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Trazabilidad completa de accesos y consentimientos, sin necesidad ni posibilidad de ver respuestas individuales.</w:t>
      </w:r>
    </w:p>
    <w:p>
      <w:pPr>
        <w:pStyle w:val="Heading2"/>
        <w:spacing w:after="120" w:before="240"/>
      </w:pPr>
      <w:r>
        <w:t xml:space="preserve">2.6 Comité NOM-035 (opera con el perfil Auditor de cumplimiento)</w:t>
      </w:r>
    </w:p>
    <w:p>
      <w:pPr>
        <w:spacing w:after="160"/>
        <w:jc w:val="both"/>
      </w:pPr>
      <w:r>
        <w:t xml:space="preserve">Grupo interdisciplinario que da seguimiento institucional a los factores de riesgo psicosocial y representa la 'autoridad laboral' de la decisión D-04. No es un perfil del sistema: sus integrantes reciben el perfil Auditor de cumplimiento con alcance en toda la organización.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Consultar reportes agregados protegidos por unidad y a nivel organización, y revisar que los parámetros de privacidad declarados sean los que el sistema aplica; nunca datos vinculados a una persona.</w:t>
      </w:r>
    </w:p>
    <w:p>
      <w:pPr>
        <w:pStyle w:val="Heading2"/>
        <w:spacing w:after="120" w:before="240"/>
      </w:pPr>
      <w:r>
        <w:t xml:space="preserve">2.7 Dirección General (opera con el perfil Líder de unidad, alcance en la unidad raíz)</w:t>
      </w:r>
    </w:p>
    <w:p>
      <w:pPr>
        <w:spacing w:after="160"/>
        <w:jc w:val="both"/>
      </w:pPr>
      <w:r>
        <w:t xml:space="preserve">Órgano ejecutivo que da seguimiento estratégico al programa de bienestar. No es un perfil del sistema: recibe el perfil Líder de unidad asignado a la unidad raíz, de modo que ve la organización completa sin ganar ningún acceso individual.</w:t>
      </w:r>
    </w:p>
    <w:p>
      <w:pPr>
        <w:spacing w:after="200"/>
      </w:pPr>
      <w:r>
        <w:rPr>
          <w:b/>
          <w:bCs/>
        </w:rPr>
        <w:t xml:space="preserve">Interés principal: </w:t>
      </w:r>
      <w:r>
        <w:t xml:space="preserve">Dashboard ejecutivo con indicadores agregados institucionales (tasa de participación, distribución de riesgo por área) sin desagregar por persona.</w:t>
      </w:r>
    </w:p>
    <w:p>
      <w:pPr>
        <w:pStyle w:val="Heading1"/>
        <w:spacing w:after="160" w:before="320"/>
      </w:pPr>
      <w:r>
        <w:t xml:space="preserve">3. Matriz de perfiles y permisos</w:t>
      </w:r>
    </w:p>
    <w:p>
      <w:pPr>
        <w:spacing w:after="160"/>
        <w:jc w:val="both"/>
      </w:pPr>
      <w:r>
        <w:t xml:space="preserve">La matriz cruza los cinco perfiles del sistema, más las dos columnas correspondientes a los órganos que operan con esos perfiles, contra las operaciones del proceso principal. Indica la granularidad máxima de acceso que alcanza cada uno. Se usan cuatro niveles: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 — Total: puede ejecutar la operación de forma completa, dentro de su propio ámbito funcional.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 — Propio: solo sobre su propio registro (por ejemplo, su historial de consentimiento).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— Agregado protegido: solo resultados que cumplieron el umbral mínimo k = 5 y a los que se aplicó ruido de Laplace, con descuento del presupuesto de épsilon; nunca datos individuales.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— — Sin acceso a esa operación.</w:t>
      </w:r>
    </w:p>
    <w:p>
      <w:pPr>
        <w:spacing w:after="1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0"/>
        <w:gridCol w:w="112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Operación del proceso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Colab.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Líder unidad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Esp. Bien.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Admin. Sist.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Auditor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Comité</w:t>
            </w:r>
          </w:p>
        </w:tc>
        <w:tc>
          <w:tcPr>
            <w:tcW w:type="dxa" w:w="11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Dir. Gral.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Autenticarse (login JWT)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 catálogo de instrumentos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Responder encuesta propia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Otorgar / revocar consentimiento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su historial de consentim.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P*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Admin. unidades organizacionales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Admin. instrumentos y reactivos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 agregado de su unidad (≥ k)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 agregado institucional (≥ k)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Admin. usuarios y roles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Parametrizar k, épsilon y presupuesto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bitácora de auditoría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12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  <w:jc w:val="both"/>
      </w:pPr>
      <w:r>
        <w:t xml:space="preserve">* El Auditor de Cumplimiento accede al historial de consentimiento en su forma de bitácora (quién consintió, cuándo, qué versión), no al contenido de las respuestas de la encuesta ni a datos que permitan reidentificar a una persona por su respuesta.</w:t>
      </w:r>
    </w:p>
    <w:p>
      <w:pPr>
        <w:pStyle w:val="Heading1"/>
        <w:spacing w:after="160" w:before="320"/>
      </w:pPr>
      <w:r>
        <w:t xml:space="preserve">4. Reglas de acceso derivadas</w:t>
      </w:r>
    </w:p>
    <w:p>
      <w:pPr>
        <w:spacing w:after="160"/>
        <w:jc w:val="both"/>
      </w:pPr>
      <w:r>
        <w:t xml:space="preserve">Estas reglas traducen la matriz anterior a restricciones concretas que el modelo de datos y el control de acceso del sistema web deben aplicar: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RA-01: Ninguna consulta puede unir la tabla de identidad de colaboradores con la tabla de respuestas en un mismo resultado visible para un perfil distinto del propio Colaborador (deriva de D-01).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RA-02: Toda consulta de tipo 'agregado' se resuelve dentro de la función de base de datos que aplica el mecanismo de privacidad: verifica el umbral k = 5, recorta al rango del instrumento, calcula la media, deriva la sensibilidad, suma ruido de Laplace y descuenta el presupuesto de épsilon. Si el grupo es insuficiente devuelve 'grupo insuficiente'; si el presupuesto está agotado devuelve un estado distinto. Nunca un valor parcial (deriva de D-03 y D-07).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RA-03: El consentimiento se consulta y se modifica como una entidad versionada con historial; revocar no borra el registro anterior, agrega una nueva versión con marca de tiempo (deriva de D-02).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RA-04: Ningún perfil con autoridad laboral —Líder de unidad, y los órganos que operan con ese perfil o con el de Auditor— recibe en la respuesta de la API un identificador que permita rastrear hacia una persona (deriva de D-04). La restricción no depende del código de la API: el rol de base de datos con el que se conecta la aplicación carece de permiso de lectura sobre las respuestas individuales.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RA-05: Cambiar el umbral k, el valor de épsilon o el presupuesto de privacidad, y asignar roles, son operaciones exclusivas del Administrador del Sistema y quedan registradas en bitácora de auditoría. Ningún perfil puede reponer presupuesto de épsilon ya consumido dentro de una campaña.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RA-06: El login diferenciado (JWT) codifica el perfil en el token; el menú del sistema web se arma en el frontend a partir de ese perfil, pero la validación real de cada permiso se hace también en el backend, nunca solo en el menú.</w:t>
      </w:r>
    </w:p>
    <w:p>
      <w:pPr>
        <w:pStyle w:val="Heading1"/>
        <w:spacing w:after="160" w:before="320"/>
      </w:pPr>
      <w:r>
        <w:t xml:space="preserve">5. Trazabilidad con decisiones previas</w:t>
      </w:r>
    </w:p>
    <w:p>
      <w:pPr>
        <w:spacing w:after="160"/>
        <w:jc w:val="both"/>
      </w:pPr>
      <w:r>
        <w:t xml:space="preserve">Esta tabla conecta cada perfil y regla nueva con la decisión de diseño de la que se deriva, para mantener consistencia con el documento de análisis y alcance ya entregado.</w:t>
      </w:r>
    </w:p>
    <w:tbl>
      <w:tblPr>
        <w:tblW w:type="dxa" w:w="8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268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 de este documento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 de origen</w:t>
            </w:r>
          </w:p>
        </w:tc>
        <w:tc>
          <w:tcPr>
            <w:tcW w:type="dxa" w:w="2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Actores 2.1–2.7 (cinco perfiles + dos órganos)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D-01, D-04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Ningún perfil salvo Colaborador ve datos individuales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Niveles P / A / T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D-01, D-02, D-07</w:t>
            </w:r>
          </w:p>
        </w:tc>
        <w:tc>
          <w:tcPr>
            <w:tcW w:type="dxa" w:w="2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Granularidad ligada a seudónimo, consentimiento, umbral k y presupuesto de épsilon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RA-01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D-01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Separación identidad / respuestas a nivel de consulta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RA-02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D-07</w:t>
            </w:r>
          </w:p>
        </w:tc>
        <w:tc>
          <w:tcPr>
            <w:tcW w:type="dxa" w:w="2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Umbral k = 5, ruido de Laplace y consumo de épsilon en cada consulta agregada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RA-03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D-02</w:t>
            </w:r>
          </w:p>
        </w:tc>
        <w:tc>
          <w:tcPr>
            <w:tcW w:type="dxa" w:w="2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Consentimiento versionado, nunca booleano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RA-04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D-04</w:t>
            </w:r>
          </w:p>
        </w:tc>
        <w:tc>
          <w:tcPr>
            <w:tcW w:type="dxa" w:w="2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Autoridad laboral sin acceso a dato individual</w:t>
            </w:r>
          </w:p>
        </w:tc>
      </w:tr>
    </w:tbl>
    <w:p>
      <w:pPr>
        <w:pStyle w:val="Heading1"/>
        <w:spacing w:after="160" w:before="320"/>
      </w:pPr>
      <w:r>
        <w:t xml:space="preserve">6. Siguiente paso</w:t>
      </w:r>
    </w:p>
    <w:p>
      <w:pPr>
        <w:spacing w:after="160"/>
        <w:jc w:val="both"/>
      </w:pPr>
      <w:r>
        <w:t xml:space="preserve">Con actores y permisos cerrados, el siguiente entregable natural del primer parcial es el modelo de datos de PostgreSQL: tablas de usuarios, roles, permisos, unidades organizacionales, instrumentos/reactivos, consentimiento (versionado) y respuestas seudonimizadas. En paralelo, se recomienda iniciar el archivo de infraestructura (docker-compose.yml con PostgreSQL, MongoDB y Redis) para que no sea un obstáculo en semanas posteriores.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Equipo 03 — Proyecto 4 · Actores y Permisos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2026-09-04T15:34:17.231Z</dcterms:created>
  <dcterms:modified xsi:type="dcterms:W3CDTF">2026-09-04T15:34:17.243Z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