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highlightCs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Documento de Análisis del Problema y Delimitación del Alcance</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50" w:before="200"/>
      </w:pPr>
      <w:r>
        <w:t xml:space="preserve">Contenido</w:t>
      </w:r>
    </w:p>
    <w:p>
      <w:pPr>
        <w:spacing w:after="150"/>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Introducción y propósito del documento</w:t>
      </w:r>
    </w:p>
    <w:p>
      <w:pPr>
        <w:spacing w:after="160"/>
        <w:jc w:val="both"/>
      </w:pPr>
      <w:r>
        <w:t xml:space="preserve">Este documento corresponde al primer entregable del primer parcial del Proyecto 4, “Plataforma de bienestar laboral y prevención de burnout”, desarrollado por el Equipo 03. Su propósito es analizar el problema desde una perspectiva organizacional, legal y humana —no únicamente desde el punto de vista del desarrollo de software— y delimitar formalmente el alcance que el equipo se compromete a construir durante esta primera etapa.</w:t>
      </w:r>
    </w:p>
    <w:p>
      <w:pPr>
        <w:spacing w:after="160"/>
        <w:jc w:val="both"/>
      </w:pPr>
      <w:r>
        <w:t xml:space="preserve">El análisis parte de un supuesto que condiciona todo el diseño posterior: se trata de un sistema que trata datos personales sensibles de personas trabajadoras dentro de una relación laboral, es decir, dentro de una relación con asimetría de poder. Por esa razón, el documento dedica un apartado específico a las restricciones legales y éticas, y las decisiones de diseño derivadas de ellas se registran de manera explícita para que puedan trazarse hasta el modelo de datos, la matriz de permisos y la arquitectura.</w:t>
      </w:r>
    </w:p>
    <w:p>
      <w:pPr>
        <w:spacing w:after="160"/>
        <w:jc w:val="both"/>
      </w:pPr>
      <w:r>
        <w:t xml:space="preserve">El documento responde a los puntos exigidos en la guía del primer parcial: contexto del problema, organizaciones involucradas, usuarios principales, procesos actuales, problemas del proceso actual, información que debe capturarse, decisiones que debe apoyar el sistema, actividades que pueden automatizarse, riesgos del negocio, restricciones legales, éticas o de privacidad, y beneficios esperados. Adicionalmente incorpora la delimitación del alcance del primer parcial y el registro de decisiones tempranas de diseño.</w:t>
      </w:r>
    </w:p>
    <w:p>
      <w:pPr>
        <w:pStyle w:val="Heading1"/>
        <w:spacing w:after="160" w:before="320"/>
      </w:pPr>
      <w:r>
        <w:t xml:space="preserve">2. Contexto del problema</w:t>
      </w:r>
    </w:p>
    <w:p>
      <w:pPr>
        <w:spacing w:after="160"/>
        <w:jc w:val="both"/>
      </w:pPr>
      <w:r>
        <w:t xml:space="preserve">El desgaste ocupacional o burnout es un fenómeno derivado del estrés crónico en el lugar de trabajo que no ha sido gestionado con éxito. Se manifiesta en agotamiento, distanciamiento mental respecto del empleo y reducción de la eficacia profesional. En el contexto mexicano, este fenómeno dejó de ser únicamente un tema de cultura organizacional para convertirse en una obligación normativa: la NOM-035-STPS-2018 obliga a los centros de trabajo a identificar, analizar y prevenir los factores de riesgo psicosocial y a promover un entorno organizacional favorable.</w:t>
      </w:r>
    </w:p>
    <w:p>
      <w:pPr>
        <w:spacing w:after="160"/>
        <w:jc w:val="both"/>
      </w:pPr>
      <w:r>
        <w:t xml:space="preserve">Las organizaciones que intentan cumplir esta obligación enfrentan una tensión de fondo. Por un lado, necesitan información suficientemente detallada para saber dónde se está generando el desgaste: qué áreas, qué turnos, qué tipo de carga. Por el otro, en el momento en que esa información se vuelve lo bastante granular para ser accionable, también se vuelve lo bastante granular para identificar personas. Y cuando el personal percibe que la herramienta puede identificarlo, deja de responder con honestidad o deja de responder por completo, con lo cual la información pierde valor y la organización queda peor que antes: con una métrica que parece confiable y no lo es.</w:t>
      </w:r>
    </w:p>
    <w:p>
      <w:pPr>
        <w:spacing w:after="160"/>
        <w:jc w:val="both"/>
      </w:pPr>
      <w:r>
        <w:t xml:space="preserve">El problema central de este proyecto no es, por lo tanto, medir el bienestar. Es medirlo de forma que la medición siga siendo válida precisamente porque nadie puede ser señalado individualmente. La plataforma debe permitir a la organización identificar cargas de trabajo problemáticas sin convertirse en un mecanismo de vigilancia individual.</w:t>
      </w:r>
    </w:p>
    <w:p>
      <w:pPr>
        <w:pStyle w:val="Heading2"/>
        <w:spacing w:after="120" w:before="240"/>
      </w:pPr>
      <w:r>
        <w:t xml:space="preserve">2.1 Organización involucrada (caso de estudio)</w:t>
      </w:r>
    </w:p>
    <w:p>
      <w:pPr>
        <w:spacing w:after="160"/>
        <w:jc w:val="both"/>
      </w:pPr>
      <w:r>
        <w:t xml:space="preserve">Para poder analizar procesos reales y no descripciones genéricas, el equipo adopta como caso de estudio una organización representativa del sector con mayor incidencia de desgaste ocupacional en el área metropolitana de Monterrey: una empresa de servicios de atención a clientes y soporte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7"/>
                <w:szCs w:val="17"/>
              </w:rPr>
              <w:t xml:space="preserve">Atributo</w:t>
            </w:r>
          </w:p>
        </w:tc>
        <w:tc>
          <w:tcPr>
            <w:tcW w:type="dxa" w:w="6760"/>
            <w:shd w:fill="1F3864" w:val="clear"/>
            <w:tcMar>
              <w:top w:type="dxa" w:w="80"/>
              <w:left w:type="dxa" w:w="100"/>
              <w:bottom w:type="dxa" w:w="80"/>
              <w:right w:type="dxa" w:w="100"/>
            </w:tcMar>
            <w:vAlign w:val="center"/>
          </w:tcPr>
          <w:p>
            <w:pPr>
              <w:jc w:val="center"/>
            </w:pPr>
            <w:r>
              <w:rPr>
                <w:b/>
                <w:bCs/>
                <w:color w:val="FFFFFF"/>
                <w:sz w:val="17"/>
                <w:szCs w:val="17"/>
              </w:rPr>
              <w:t xml:space="preserve">Descripción</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Razón social</w:t>
            </w:r>
          </w:p>
        </w:tc>
        <w:tc>
          <w:tcPr>
            <w:tcW w:type="dxa" w:w="6760"/>
            <w:tcMar>
              <w:top w:type="dxa" w:w="80"/>
              <w:left w:type="dxa" w:w="100"/>
              <w:bottom w:type="dxa" w:w="80"/>
              <w:right w:type="dxa" w:w="100"/>
            </w:tcMar>
            <w:vAlign w:val="center"/>
          </w:tcPr>
          <w:p>
            <w:pPr>
              <w:jc w:val="left"/>
            </w:pPr>
            <w:r>
              <w:rPr>
                <w:b w:val="false"/>
                <w:bCs w:val="false"/>
                <w:color w:val="000000"/>
                <w:sz w:val="17"/>
                <w:szCs w:val="17"/>
              </w:rPr>
              <w:t xml:space="preserve">Nexum Servicios Corporativos, S.A. de C.V. (organización ficticia con fines académicos)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Giro</w:t>
            </w:r>
          </w:p>
        </w:tc>
        <w:tc>
          <w:tcPr>
            <w:tcW w:type="dxa" w:w="67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Tercerización de servicios de atención a clientes y soporte técnico (BPO)</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Sede</w:t>
            </w:r>
          </w:p>
        </w:tc>
        <w:tc>
          <w:tcPr>
            <w:tcW w:type="dxa" w:w="6760"/>
            <w:tcMar>
              <w:top w:type="dxa" w:w="80"/>
              <w:left w:type="dxa" w:w="100"/>
              <w:bottom w:type="dxa" w:w="80"/>
              <w:right w:type="dxa" w:w="100"/>
            </w:tcMar>
            <w:vAlign w:val="center"/>
          </w:tcPr>
          <w:p>
            <w:pPr>
              <w:jc w:val="left"/>
            </w:pPr>
            <w:r>
              <w:rPr>
                <w:b w:val="false"/>
                <w:bCs w:val="false"/>
                <w:color w:val="000000"/>
                <w:sz w:val="17"/>
                <w:szCs w:val="17"/>
              </w:rPr>
              <w:t xml:space="preserve">Monterrey, Nuevo León</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Sitios de operación</w:t>
            </w:r>
          </w:p>
        </w:tc>
        <w:tc>
          <w:tcPr>
            <w:tcW w:type="dxa" w:w="67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Monterrey, Guadalajara y Querétaro, además de personal en modalidad remota</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Personal</w:t>
            </w:r>
          </w:p>
        </w:tc>
        <w:tc>
          <w:tcPr>
            <w:tcW w:type="dxa" w:w="6760"/>
            <w:tcMar>
              <w:top w:type="dxa" w:w="80"/>
              <w:left w:type="dxa" w:w="100"/>
              <w:bottom w:type="dxa" w:w="80"/>
              <w:right w:type="dxa" w:w="100"/>
            </w:tcMar>
            <w:vAlign w:val="center"/>
          </w:tcPr>
          <w:p>
            <w:pPr>
              <w:jc w:val="left"/>
            </w:pPr>
            <w:r>
              <w:rPr>
                <w:b w:val="false"/>
                <w:bCs w:val="false"/>
                <w:color w:val="000000"/>
                <w:sz w:val="17"/>
                <w:szCs w:val="17"/>
              </w:rPr>
              <w:t xml:space="preserve">Aproximadamente 1,150 colaboradores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Esquema operativo</w:t>
            </w:r>
          </w:p>
        </w:tc>
        <w:tc>
          <w:tcPr>
            <w:tcW w:type="dxa" w:w="67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Operación continua en tres turnos, incluidos fines de semana</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Rotación anual</w:t>
            </w:r>
          </w:p>
        </w:tc>
        <w:tc>
          <w:tcPr>
            <w:tcW w:type="dxa" w:w="6760"/>
            <w:tcMar>
              <w:top w:type="dxa" w:w="80"/>
              <w:left w:type="dxa" w:w="100"/>
              <w:bottom w:type="dxa" w:w="80"/>
              <w:right w:type="dxa" w:w="100"/>
            </w:tcMar>
            <w:vAlign w:val="center"/>
          </w:tcPr>
          <w:p>
            <w:pPr>
              <w:jc w:val="left"/>
            </w:pPr>
            <w:r>
              <w:rPr>
                <w:b w:val="false"/>
                <w:bCs w:val="false"/>
                <w:color w:val="000000"/>
                <w:sz w:val="17"/>
                <w:szCs w:val="17"/>
              </w:rPr>
              <w:t xml:space="preserve">Cercana al 38 % en áreas de operación de primera línea</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Obligación normativa</w:t>
            </w:r>
          </w:p>
        </w:tc>
        <w:tc>
          <w:tcPr>
            <w:tcW w:type="dxa" w:w="67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Al superar los 50 trabajadores, debe identificar y analizar factores de riesgo psicosocial y evaluar el entorno organizacional</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Áreas</w:t>
            </w:r>
          </w:p>
        </w:tc>
        <w:tc>
          <w:tcPr>
            <w:tcW w:type="dxa" w:w="6760"/>
            <w:tcMar>
              <w:top w:type="dxa" w:w="80"/>
              <w:left w:type="dxa" w:w="100"/>
              <w:bottom w:type="dxa" w:w="80"/>
              <w:right w:type="dxa" w:w="100"/>
            </w:tcMar>
            <w:vAlign w:val="center"/>
          </w:tcPr>
          <w:p>
            <w:pPr>
              <w:jc w:val="left"/>
            </w:pPr>
            <w:r>
              <w:rPr>
                <w:b w:val="false"/>
                <w:bCs w:val="false"/>
                <w:color w:val="000000"/>
                <w:sz w:val="17"/>
                <w:szCs w:val="17"/>
              </w:rPr>
              <w:t xml:space="preserve">Operación, Soporte Técnico N1 y N2, Calidad, Capacitación, Tecnologías de Información, Recursos Humanos, Finanzas y Ventas</w:t>
            </w:r>
          </w:p>
        </w:tc>
      </w:tr>
    </w:tbl>
    <w:p>
      <w:pPr>
        <w:spacing w:after="160"/>
        <w:jc w:val="both"/>
      </w:pPr>
      <w:r>
        <w:t xml:space="preserve"/>
      </w:r>
    </w:p>
    <w:p>
      <w:pPr>
        <w:spacing w:after="160"/>
        <w:jc w:val="both"/>
      </w:pPr>
      <w:r>
        <w:t xml:space="preserve">La elección de este perfil de organización no es incidental. Se trata de un entorno con métricas de desempeño individuales muy densas (tiempo de llamada, adherencia a horario, monitoreo de calidad), lo cual agrava el riesgo de que una herramienta de bienestar sea percibida como un instrumento de control adicional. Es, por lo tanto, el escenario donde las salvaguardas de privacidad del sistema se ponen realmente a prueba.</w:t>
      </w:r>
    </w:p>
    <w:p>
      <w:pPr>
        <w:pStyle w:val="Heading2"/>
        <w:spacing w:after="120" w:before="240"/>
      </w:pPr>
      <w:r>
        <w:t xml:space="preserve">2.2 Otras organizaciones y terceros involucrados</w:t>
      </w:r>
    </w:p>
    <w:p>
      <w:pPr>
        <w:pStyle w:val="ListParagraph"/>
        <w:numPr>
          <w:ilvl w:val="0"/>
          <w:numId w:val="1"/>
        </w:numPr>
        <w:spacing w:after="80"/>
      </w:pPr>
      <w:r>
        <w:t xml:space="preserve">Proveedor de servicios de asistencia al empleado (EAP) que brinda atención psicológica externa y confidencial.</w:t>
      </w:r>
    </w:p>
    <w:p>
      <w:pPr>
        <w:pStyle w:val="ListParagraph"/>
        <w:numPr>
          <w:ilvl w:val="0"/>
          <w:numId w:val="1"/>
        </w:numPr>
        <w:spacing w:after="80"/>
      </w:pPr>
      <w:r>
        <w:t xml:space="preserve">Unidad de inspección o auditor externo que verifica el cumplimiento de la normatividad de seguridad y salud en el trabajo.</w:t>
      </w:r>
    </w:p>
    <w:p>
      <w:pPr>
        <w:pStyle w:val="ListParagraph"/>
        <w:numPr>
          <w:ilvl w:val="0"/>
          <w:numId w:val="1"/>
        </w:numPr>
        <w:spacing w:after="80"/>
      </w:pPr>
      <w:r>
        <w:t xml:space="preserve">Comité NOM-035 (autoridad laboral interna), responsable de autorizar cambios en las reglas de privacidad y de vigilar el uso legítimo de la información.</w:t>
      </w:r>
    </w:p>
    <w:p>
      <w:pPr>
        <w:pStyle w:val="ListParagraph"/>
        <w:numPr>
          <w:ilvl w:val="0"/>
          <w:numId w:val="1"/>
        </w:numPr>
        <w:spacing w:after="80"/>
      </w:pPr>
      <w:r>
        <w:t xml:space="preserve">Fabricantes de dispositivos vestibles (wearables), como fuente opcional de indicadores fisiológicos autorizados por la persona.</w:t>
      </w:r>
    </w:p>
    <w:p>
      <w:pPr>
        <w:pStyle w:val="ListParagraph"/>
        <w:numPr>
          <w:ilvl w:val="0"/>
          <w:numId w:val="1"/>
        </w:numPr>
        <w:spacing w:after="80"/>
      </w:pPr>
      <w:r>
        <w:t xml:space="preserve">Autoridad reguladora en materia de protección de datos personales.</w:t>
      </w:r>
    </w:p>
    <w:p>
      <w:pPr>
        <w:pStyle w:val="Heading1"/>
        <w:spacing w:after="160" w:before="320"/>
      </w:pPr>
      <w:r>
        <w:t xml:space="preserve">3. Usuarios principales</w:t>
      </w:r>
    </w:p>
    <w:p>
      <w:pPr>
        <w:spacing w:after="160"/>
        <w:jc w:val="both"/>
      </w:pPr>
      <w:r>
        <w:t xml:space="preserve">La plataforma implementa cinco perfiles. La distinción relevante entre ellos no es jerárquica sino informacional: lo que define a cada perfil es el nivel de granularidad de los datos que puede alcanzar. Ese criterio es el que después se traduce en la matriz de roles y permisos. Dos órganos de la organización —el Comité NOM-035 y la Dirección General— no constituyen perfiles adicionales: operan con perfiles existentes, delimitados por el alcance organizacional que el modelo de datos ya permite asignar a cada asignación de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300"/>
        <w:gridCol w:w="4310"/>
      </w:tblGrid>
      <w:tr>
        <w:trPr>
          <w:tblHeader/>
        </w:trPr>
        <w:tc>
          <w:tcPr>
            <w:tcW w:type="dxa" w:w="1750"/>
            <w:shd w:fill="1F3864" w:val="clear"/>
            <w:tcMar>
              <w:top w:type="dxa" w:w="80"/>
              <w:left w:type="dxa" w:w="100"/>
              <w:bottom w:type="dxa" w:w="80"/>
              <w:right w:type="dxa" w:w="100"/>
            </w:tcMar>
            <w:vAlign w:val="center"/>
          </w:tcPr>
          <w:p>
            <w:pPr>
              <w:jc w:val="center"/>
            </w:pPr>
            <w:r>
              <w:rPr>
                <w:b/>
                <w:bCs/>
                <w:color w:val="FFFFFF"/>
                <w:sz w:val="17"/>
                <w:szCs w:val="17"/>
              </w:rPr>
              <w:t xml:space="preserve">Perfil</w:t>
            </w:r>
          </w:p>
        </w:tc>
        <w:tc>
          <w:tcPr>
            <w:tcW w:type="dxa" w:w="3300"/>
            <w:shd w:fill="1F3864" w:val="clear"/>
            <w:tcMar>
              <w:top w:type="dxa" w:w="80"/>
              <w:left w:type="dxa" w:w="100"/>
              <w:bottom w:type="dxa" w:w="80"/>
              <w:right w:type="dxa" w:w="100"/>
            </w:tcMar>
            <w:vAlign w:val="center"/>
          </w:tcPr>
          <w:p>
            <w:pPr>
              <w:jc w:val="center"/>
            </w:pPr>
            <w:r>
              <w:rPr>
                <w:b/>
                <w:bCs/>
                <w:color w:val="FFFFFF"/>
                <w:sz w:val="17"/>
                <w:szCs w:val="17"/>
              </w:rPr>
              <w:t xml:space="preserve">Función en el proceso</w:t>
            </w:r>
          </w:p>
        </w:tc>
        <w:tc>
          <w:tcPr>
            <w:tcW w:type="dxa" w:w="4310"/>
            <w:shd w:fill="1F3864" w:val="clear"/>
            <w:tcMar>
              <w:top w:type="dxa" w:w="80"/>
              <w:left w:type="dxa" w:w="100"/>
              <w:bottom w:type="dxa" w:w="80"/>
              <w:right w:type="dxa" w:w="100"/>
            </w:tcMar>
            <w:vAlign w:val="center"/>
          </w:tcPr>
          <w:p>
            <w:pPr>
              <w:jc w:val="center"/>
            </w:pPr>
            <w:r>
              <w:rPr>
                <w:b/>
                <w:bCs/>
                <w:color w:val="FFFFFF"/>
                <w:sz w:val="17"/>
                <w:szCs w:val="17"/>
              </w:rPr>
              <w:t xml:space="preserve">Granularidad máxima de datos a la que accede</w:t>
            </w:r>
          </w:p>
        </w:tc>
      </w:tr>
      <w:tr>
        <w:tc>
          <w:tcPr>
            <w:tcW w:type="dxa" w:w="1750"/>
            <w:tcMar>
              <w:top w:type="dxa" w:w="80"/>
              <w:left w:type="dxa" w:w="100"/>
              <w:bottom w:type="dxa" w:w="80"/>
              <w:right w:type="dxa" w:w="100"/>
            </w:tcMar>
            <w:vAlign w:val="center"/>
          </w:tcPr>
          <w:p>
            <w:pPr>
              <w:jc w:val="left"/>
            </w:pPr>
            <w:r>
              <w:rPr>
                <w:b w:val="false"/>
                <w:bCs w:val="false"/>
                <w:color w:val="000000"/>
                <w:sz w:val="17"/>
                <w:szCs w:val="17"/>
              </w:rPr>
              <w:t xml:space="preserve">Colaborador</w:t>
            </w:r>
          </w:p>
        </w:tc>
        <w:tc>
          <w:tcPr>
            <w:tcW w:type="dxa" w:w="3300"/>
            <w:tcMar>
              <w:top w:type="dxa" w:w="80"/>
              <w:left w:type="dxa" w:w="100"/>
              <w:bottom w:type="dxa" w:w="80"/>
              <w:right w:type="dxa" w:w="100"/>
            </w:tcMar>
            <w:vAlign w:val="center"/>
          </w:tcPr>
          <w:p>
            <w:pPr>
              <w:jc w:val="left"/>
            </w:pPr>
            <w:r>
              <w:rPr>
                <w:b w:val="false"/>
                <w:bCs w:val="false"/>
                <w:color w:val="000000"/>
                <w:sz w:val="17"/>
                <w:szCs w:val="17"/>
              </w:rPr>
              <w:t xml:space="preserve">Otorga o revoca consentimiento, responde encuestas, consulta su propio historial de consentimiento y solicita apoyo</w:t>
            </w:r>
          </w:p>
        </w:tc>
        <w:tc>
          <w:tcPr>
            <w:tcW w:type="dxa" w:w="4310"/>
            <w:tcMar>
              <w:top w:type="dxa" w:w="80"/>
              <w:left w:type="dxa" w:w="100"/>
              <w:bottom w:type="dxa" w:w="80"/>
              <w:right w:type="dxa" w:w="100"/>
            </w:tcMar>
            <w:vAlign w:val="center"/>
          </w:tcPr>
          <w:p>
            <w:pPr>
              <w:jc w:val="left"/>
            </w:pPr>
            <w:r>
              <w:rPr>
                <w:b w:val="false"/>
                <w:bCs w:val="false"/>
                <w:color w:val="000000"/>
                <w:sz w:val="17"/>
                <w:szCs w:val="17"/>
              </w:rPr>
              <w:t xml:space="preserve">Sus propios datos individuales, y nada más</w:t>
            </w:r>
          </w:p>
        </w:tc>
      </w:tr>
      <w:tr>
        <w:tc>
          <w:tcPr>
            <w:tcW w:type="dxa" w:w="175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Líder de unidad</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Da seguimiento operativo a su equipo y recibe resultados agregados de su unidad</w:t>
            </w:r>
          </w:p>
        </w:tc>
        <w:tc>
          <w:tcPr>
            <w:tcW w:type="dxa" w:w="431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Datos agregados protegidos de su unidad: solo si el grupo satisface el umbral mínimo (k = 5) y siempre con ruido de Laplace aplicado</w:t>
            </w:r>
          </w:p>
        </w:tc>
      </w:tr>
      <w:tr>
        <w:tc>
          <w:tcPr>
            <w:tcW w:type="dxa" w:w="1750"/>
            <w:tcMar>
              <w:top w:type="dxa" w:w="80"/>
              <w:left w:type="dxa" w:w="100"/>
              <w:bottom w:type="dxa" w:w="80"/>
              <w:right w:type="dxa" w:w="100"/>
            </w:tcMar>
            <w:vAlign w:val="center"/>
          </w:tcPr>
          <w:p>
            <w:pPr>
              <w:jc w:val="left"/>
            </w:pPr>
            <w:r>
              <w:rPr>
                <w:b w:val="false"/>
                <w:bCs w:val="false"/>
                <w:color w:val="000000"/>
                <w:sz w:val="17"/>
                <w:szCs w:val="17"/>
              </w:rPr>
              <w:t xml:space="preserve">Especialista de Bienestar Laboral (RRHH)</w:t>
            </w:r>
          </w:p>
        </w:tc>
        <w:tc>
          <w:tcPr>
            <w:tcW w:type="dxa" w:w="3300"/>
            <w:tcMar>
              <w:top w:type="dxa" w:w="80"/>
              <w:left w:type="dxa" w:w="100"/>
              <w:bottom w:type="dxa" w:w="80"/>
              <w:right w:type="dxa" w:w="100"/>
            </w:tcMar>
            <w:vAlign w:val="center"/>
          </w:tcPr>
          <w:p>
            <w:pPr>
              <w:jc w:val="left"/>
            </w:pPr>
            <w:r>
              <w:rPr>
                <w:b w:val="false"/>
                <w:bCs w:val="false"/>
                <w:color w:val="000000"/>
                <w:sz w:val="17"/>
                <w:szCs w:val="17"/>
              </w:rPr>
              <w:t xml:space="preserve">Configura instrumentos y catálogos, administra campañas, analiza resultados agregados y diseña intervenciones</w:t>
            </w:r>
          </w:p>
        </w:tc>
        <w:tc>
          <w:tcPr>
            <w:tcW w:type="dxa" w:w="4310"/>
            <w:tcMar>
              <w:top w:type="dxa" w:w="80"/>
              <w:left w:type="dxa" w:w="100"/>
              <w:bottom w:type="dxa" w:w="80"/>
              <w:right w:type="dxa" w:w="100"/>
            </w:tcMar>
            <w:vAlign w:val="center"/>
          </w:tcPr>
          <w:p>
            <w:pPr>
              <w:jc w:val="left"/>
            </w:pPr>
            <w:r>
              <w:rPr>
                <w:b w:val="false"/>
                <w:bCs w:val="false"/>
                <w:color w:val="000000"/>
                <w:sz w:val="17"/>
                <w:szCs w:val="17"/>
              </w:rPr>
              <w:t xml:space="preserve">Agregados protegidos por grupo e institucionales; nunca respuestas individuales</w:t>
            </w:r>
          </w:p>
        </w:tc>
      </w:tr>
      <w:tr>
        <w:tc>
          <w:tcPr>
            <w:tcW w:type="dxa" w:w="175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Administrador del Sistema</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Opera catálogos, usuarios, roles y parámetros técnicos de la plataforma, incluidos el umbral k, el valor de épsilon por consulta y el presupuesto de privacidad por campaña</w:t>
            </w:r>
          </w:p>
        </w:tc>
        <w:tc>
          <w:tcPr>
            <w:tcW w:type="dxa" w:w="431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Datos de configuración y operación; no accede al contenido de las respuestas</w:t>
            </w:r>
          </w:p>
        </w:tc>
      </w:tr>
      <w:tr>
        <w:tc>
          <w:tcPr>
            <w:tcW w:type="dxa" w:w="1750"/>
            <w:tcMar>
              <w:top w:type="dxa" w:w="80"/>
              <w:left w:type="dxa" w:w="100"/>
              <w:bottom w:type="dxa" w:w="80"/>
              <w:right w:type="dxa" w:w="100"/>
            </w:tcMar>
            <w:vAlign w:val="center"/>
          </w:tcPr>
          <w:p>
            <w:pPr>
              <w:jc w:val="left"/>
            </w:pPr>
            <w:r>
              <w:rPr>
                <w:b w:val="false"/>
                <w:bCs w:val="false"/>
                <w:color w:val="000000"/>
                <w:sz w:val="17"/>
                <w:szCs w:val="17"/>
              </w:rPr>
              <w:t xml:space="preserve">Auditor de Cumplimiento</w:t>
            </w:r>
          </w:p>
        </w:tc>
        <w:tc>
          <w:tcPr>
            <w:tcW w:type="dxa" w:w="3300"/>
            <w:tcMar>
              <w:top w:type="dxa" w:w="80"/>
              <w:left w:type="dxa" w:w="100"/>
              <w:bottom w:type="dxa" w:w="80"/>
              <w:right w:type="dxa" w:w="100"/>
            </w:tcMar>
            <w:vAlign w:val="center"/>
          </w:tcPr>
          <w:p>
            <w:pPr>
              <w:jc w:val="left"/>
            </w:pPr>
            <w:r>
              <w:rPr>
                <w:b w:val="false"/>
                <w:bCs w:val="false"/>
                <w:color w:val="000000"/>
                <w:sz w:val="17"/>
                <w:szCs w:val="17"/>
              </w:rPr>
              <w:t xml:space="preserve">Verifica trazabilidad, consentimientos y cumplimiento normativo</w:t>
            </w:r>
          </w:p>
        </w:tc>
        <w:tc>
          <w:tcPr>
            <w:tcW w:type="dxa" w:w="4310"/>
            <w:tcMar>
              <w:top w:type="dxa" w:w="80"/>
              <w:left w:type="dxa" w:w="100"/>
              <w:bottom w:type="dxa" w:w="80"/>
              <w:right w:type="dxa" w:w="100"/>
            </w:tcMar>
            <w:vAlign w:val="center"/>
          </w:tcPr>
          <w:p>
            <w:pPr>
              <w:jc w:val="left"/>
            </w:pPr>
            <w:r>
              <w:rPr>
                <w:b w:val="false"/>
                <w:bCs w:val="false"/>
                <w:color w:val="000000"/>
                <w:sz w:val="17"/>
                <w:szCs w:val="17"/>
              </w:rPr>
              <w:t xml:space="preserve">Bitácora de auditoría y evidencia de consentimiento; no accede al contenido de las respuestas</w:t>
            </w:r>
          </w:p>
        </w:tc>
      </w:tr>
      <w:tr>
        <w:tc>
          <w:tcPr>
            <w:tcW w:type="dxa" w:w="175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Comité NOM-035</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Autoriza umbrales y valores de épsilon, aprueba excepciones y revisa el uso legítimo de la información. Opera con el perfil Auditor de cumplimiento, con alcance en toda la organización</w:t>
            </w:r>
          </w:p>
        </w:tc>
        <w:tc>
          <w:tcPr>
            <w:tcW w:type="dxa" w:w="431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Metadatos, bitácoras y agregados institucionales; no accede al contenido de las respuestas</w:t>
            </w:r>
          </w:p>
        </w:tc>
      </w:tr>
      <w:tr>
        <w:tc>
          <w:tcPr>
            <w:tcW w:type="dxa" w:w="1750"/>
            <w:tcMar>
              <w:top w:type="dxa" w:w="80"/>
              <w:left w:type="dxa" w:w="100"/>
              <w:bottom w:type="dxa" w:w="80"/>
              <w:right w:type="dxa" w:w="100"/>
            </w:tcMar>
            <w:vAlign w:val="center"/>
          </w:tcPr>
          <w:p>
            <w:pPr>
              <w:jc w:val="left"/>
            </w:pPr>
            <w:r>
              <w:rPr>
                <w:b w:val="false"/>
                <w:bCs w:val="false"/>
                <w:color w:val="000000"/>
                <w:sz w:val="17"/>
                <w:szCs w:val="17"/>
              </w:rPr>
              <w:t xml:space="preserve">Dirección General</w:t>
            </w:r>
          </w:p>
        </w:tc>
        <w:tc>
          <w:tcPr>
            <w:tcW w:type="dxa" w:w="3300"/>
            <w:tcMar>
              <w:top w:type="dxa" w:w="80"/>
              <w:left w:type="dxa" w:w="100"/>
              <w:bottom w:type="dxa" w:w="80"/>
              <w:right w:type="dxa" w:w="100"/>
            </w:tcMar>
            <w:vAlign w:val="center"/>
          </w:tcPr>
          <w:p>
            <w:pPr>
              <w:jc w:val="left"/>
            </w:pPr>
            <w:r>
              <w:rPr>
                <w:b w:val="false"/>
                <w:bCs w:val="false"/>
                <w:color w:val="000000"/>
                <w:sz w:val="17"/>
                <w:szCs w:val="17"/>
              </w:rPr>
              <w:t xml:space="preserve">Da seguimiento estratégico al programa de bienestar. Opera con el perfil Líder de unidad asignado a la unidad raíz, de modo que ve la organización completa sin ganar acceso individual</w:t>
            </w:r>
          </w:p>
        </w:tc>
        <w:tc>
          <w:tcPr>
            <w:tcW w:type="dxa" w:w="4310"/>
            <w:tcMar>
              <w:top w:type="dxa" w:w="80"/>
              <w:left w:type="dxa" w:w="100"/>
              <w:bottom w:type="dxa" w:w="80"/>
              <w:right w:type="dxa" w:w="100"/>
            </w:tcMar>
            <w:vAlign w:val="center"/>
          </w:tcPr>
          <w:p>
            <w:pPr>
              <w:jc w:val="left"/>
            </w:pPr>
            <w:r>
              <w:rPr>
                <w:b w:val="false"/>
                <w:bCs w:val="false"/>
                <w:color w:val="000000"/>
                <w:sz w:val="17"/>
                <w:szCs w:val="17"/>
              </w:rPr>
              <w:t xml:space="preserve">Indicadores agregados protegidos de nivel institucional, sujetos al umbral k y al ruido de Laplace</w:t>
            </w:r>
          </w:p>
        </w:tc>
      </w:tr>
    </w:tbl>
    <w:p>
      <w:pPr>
        <w:spacing w:after="160"/>
        <w:jc w:val="both"/>
      </w:pPr>
      <w:r>
        <w:t xml:space="preserve"/>
      </w:r>
    </w:p>
    <w:p>
      <w:pPr>
        <w:spacing w:after="160"/>
        <w:jc w:val="both"/>
      </w:pPr>
      <w:r>
        <w:rPr>
          <w:b/>
          <w:bCs/>
          <w:i w:val="false"/>
          <w:iCs w:val="false"/>
        </w:rPr>
        <w:t xml:space="preserve">Regla estructural del proyecto: </w:t>
      </w:r>
      <w:r>
        <w:rPr>
          <w:b w:val="false"/>
          <w:bCs w:val="false"/>
          <w:i w:val="false"/>
          <w:iCs w:val="false"/>
        </w:rPr>
        <w:t xml:space="preserve">ningún perfil con autoridad laboral sobre una persona (Líder de unidad, Comité NOM-035, Dirección General) puede alcanzar el dato individual de esa persona. Esta regla no se implementa como una simple validación en la interfaz, sino en el modelo de datos y en la capa de autorización, de manera que la separación se sostenga aunque se consulte directamente la base de datos.</w:t>
      </w:r>
    </w:p>
    <w:p>
      <w:pPr>
        <w:pStyle w:val="Heading1"/>
        <w:spacing w:after="160" w:before="320"/>
      </w:pPr>
      <w:r>
        <w:t xml:space="preserve">4. Procesos actuales (situación sin el sistema)</w:t>
      </w:r>
    </w:p>
    <w:p>
      <w:pPr>
        <w:spacing w:after="160"/>
        <w:jc w:val="both"/>
      </w:pPr>
      <w:r>
        <w:t xml:space="preserve">Actualmente la organización atiende el tema de bienestar y riesgo psicosocial mediante procesos manuales, desconectados entre sí y de baja frecuencia. Se describen a continuación tal como ocurren hoy.</w:t>
      </w:r>
    </w:p>
    <w:p>
      <w:pPr>
        <w:pStyle w:val="Heading2"/>
        <w:spacing w:after="120" w:before="240"/>
      </w:pPr>
      <w:r>
        <w:t xml:space="preserve">4.1 Aplicación anual del cuestionario de riesgo psicosocial</w:t>
      </w:r>
    </w:p>
    <w:p>
      <w:pPr>
        <w:spacing w:after="160"/>
        <w:jc w:val="both"/>
      </w:pPr>
      <w:r>
        <w:t xml:space="preserve">Una vez al año, Recursos Humanos distribuye un cuestionario impreso o un formulario en línea genérico. La aplicación se organiza por área y por turno, y en la práctica el supervisor del área es quien convoca al personal a responderlo, con frecuencia dentro del horario de operación y en el mismo espacio de trabajo.</w:t>
      </w:r>
    </w:p>
    <w:p>
      <w:pPr>
        <w:pStyle w:val="Heading2"/>
        <w:spacing w:after="120" w:before="240"/>
      </w:pPr>
      <w:r>
        <w:t xml:space="preserve">4.2 Concentrado y análisis manual</w:t>
      </w:r>
    </w:p>
    <w:p>
      <w:pPr>
        <w:spacing w:after="160"/>
        <w:jc w:val="both"/>
      </w:pPr>
      <w:r>
        <w:t xml:space="preserve">Las respuestas se capturan manualmente en una hoja de cálculo. El analista de Recursos Humanos calcula los puntajes, agrupa por área y elabora una presentación. El ciclo completo, desde el cierre de la aplicación hasta la presentación de resultados, toma entre seis y ocho semanas.</w:t>
      </w:r>
    </w:p>
    <w:p>
      <w:pPr>
        <w:pStyle w:val="Heading2"/>
        <w:spacing w:after="120" w:before="240"/>
      </w:pPr>
      <w:r>
        <w:t xml:space="preserve">4.3 Difusión de resultados</w:t>
      </w:r>
    </w:p>
    <w:p>
      <w:pPr>
        <w:spacing w:after="160"/>
        <w:jc w:val="both"/>
      </w:pPr>
      <w:r>
        <w:t xml:space="preserve">Los resultados se presentan a la dirección y, ocasionalmente, a las gerencias. No existe un mecanismo formal para que el personal que respondió consulte los resultados, ni para que una persona conozca su propio resultado.</w:t>
      </w:r>
    </w:p>
    <w:p>
      <w:pPr>
        <w:pStyle w:val="Heading2"/>
        <w:spacing w:after="120" w:before="240"/>
      </w:pPr>
      <w:r>
        <w:t xml:space="preserve">4.4 Detección de casos individuales</w:t>
      </w:r>
    </w:p>
    <w:p>
      <w:pPr>
        <w:spacing w:after="160"/>
        <w:jc w:val="both"/>
      </w:pPr>
      <w:r>
        <w:t xml:space="preserve">La detección ocurre de forma reactiva: por escalamiento del jefe directo cuando ya hay ausentismo, caída sostenida de desempeño o una renuncia. Es decir, el caso se detecta cuando el desgaste ya produjo una consecuencia visible.</w:t>
      </w:r>
    </w:p>
    <w:p>
      <w:pPr>
        <w:pStyle w:val="Heading2"/>
        <w:spacing w:after="120" w:before="240"/>
      </w:pPr>
      <w:r>
        <w:t xml:space="preserve">4.5 Canalización a apoyo psicológico</w:t>
      </w:r>
    </w:p>
    <w:p>
      <w:pPr>
        <w:spacing w:after="160"/>
        <w:jc w:val="both"/>
      </w:pPr>
      <w:r>
        <w:t xml:space="preserve">Existe un convenio con un proveedor externo de asistencia al empleado. Su utilización es baja y la percepción recurrente en el personal es que solicitar el servicio deja un registro que puede afectar la evaluación de desempeño o las oportunidades de promoción.</w:t>
      </w:r>
    </w:p>
    <w:p>
      <w:pPr>
        <w:pStyle w:val="Heading2"/>
        <w:spacing w:after="120" w:before="240"/>
      </w:pPr>
      <w:r>
        <w:t xml:space="preserve">4.6 Encuestas de clima organizacional</w:t>
      </w:r>
    </w:p>
    <w:p>
      <w:pPr>
        <w:spacing w:after="160"/>
        <w:jc w:val="both"/>
      </w:pPr>
      <w:r>
        <w:t xml:space="preserve">Se aplican por un proveedor externo con periodicidad variable. Los resultados llegan en formato de reporte cerrado, sin acceso a los datos, lo que impide cruzarlos con la información de riesgo psicosocial o dar seguimiento longitudinal.</w:t>
      </w:r>
    </w:p>
    <w:p>
      <w:pPr>
        <w:pStyle w:val="Heading2"/>
        <w:spacing w:after="120" w:before="240"/>
      </w:pPr>
      <w:r>
        <w:t xml:space="preserve">4.7 Dispositivos vestibles</w:t>
      </w:r>
    </w:p>
    <w:p>
      <w:pPr>
        <w:spacing w:after="160"/>
        <w:jc w:val="both"/>
      </w:pPr>
      <w:r>
        <w:t xml:space="preserve">Un programa voluntario de salud entregó dispositivos a una parte del personal. Los datos permanecen en las aplicaciones del fabricante, sin ninguna integración ni uso organizacional, y sin que exista claridad sobre quién podría acceder a ellos.</w:t>
      </w:r>
    </w:p>
    <w:p>
      <w:pPr>
        <w:pStyle w:val="Heading1"/>
        <w:spacing w:after="160" w:before="320"/>
      </w:pPr>
      <w:r>
        <w:t xml:space="preserve">5. Problemas del proceso actual</w:t>
      </w:r>
    </w:p>
    <w:p>
      <w:pPr>
        <w:spacing w:after="160"/>
        <w:jc w:val="both"/>
      </w:pPr>
      <w:r>
        <w:t xml:space="preserve">Del análisis de los procesos descritos se identifican los siguientes problemas, agrupados por naturaleza.</w:t>
      </w:r>
    </w:p>
    <w:p>
      <w:pPr>
        <w:pStyle w:val="Heading2"/>
        <w:spacing w:after="120" w:before="240"/>
      </w:pPr>
      <w:r>
        <w:t xml:space="preserve">5.1 Problemas de oportunidad y calidad de la información</w:t>
      </w:r>
    </w:p>
    <w:p>
      <w:pPr>
        <w:pStyle w:val="ListParagraph"/>
        <w:numPr>
          <w:ilvl w:val="0"/>
          <w:numId w:val="1"/>
        </w:numPr>
        <w:spacing w:after="80"/>
      </w:pPr>
      <w:r>
        <w:t xml:space="preserve">La latencia de seis a ocho semanas entre la captura y el resultado hace que la información llegue cuando las condiciones que la originaron ya cambiaron.</w:t>
      </w:r>
    </w:p>
    <w:p>
      <w:pPr>
        <w:pStyle w:val="ListParagraph"/>
        <w:numPr>
          <w:ilvl w:val="0"/>
          <w:numId w:val="1"/>
        </w:numPr>
        <w:spacing w:after="80"/>
      </w:pPr>
      <w:r>
        <w:t xml:space="preserve">La periodicidad anual impide detectar variaciones asociadas a temporadas de alta demanda, cambios de turno o reestructuras.</w:t>
      </w:r>
    </w:p>
    <w:p>
      <w:pPr>
        <w:pStyle w:val="ListParagraph"/>
        <w:numPr>
          <w:ilvl w:val="0"/>
          <w:numId w:val="1"/>
        </w:numPr>
        <w:spacing w:after="80"/>
      </w:pPr>
      <w:r>
        <w:t xml:space="preserve">La participación se ubica alrededor del 45 %, y la explicación más frecuente del personal es la desconfianza sobre el anonimato real del instrumento.</w:t>
      </w:r>
    </w:p>
    <w:p>
      <w:pPr>
        <w:pStyle w:val="ListParagraph"/>
        <w:numPr>
          <w:ilvl w:val="0"/>
          <w:numId w:val="1"/>
        </w:numPr>
        <w:spacing w:after="80"/>
      </w:pPr>
      <w:r>
        <w:t xml:space="preserve">Existe sesgo de deseabilidad social: al responder en el espacio de trabajo y convocados por el supervisor, las respuestas tienden hacia lo socialmente aceptable.</w:t>
      </w:r>
    </w:p>
    <w:p>
      <w:pPr>
        <w:pStyle w:val="ListParagraph"/>
        <w:numPr>
          <w:ilvl w:val="0"/>
          <w:numId w:val="1"/>
        </w:numPr>
        <w:spacing w:after="80"/>
      </w:pPr>
      <w:r>
        <w:t xml:space="preserve">No hay línea base ni seguimiento longitudinal, por lo que no puede distinguirse una mejora real de una variación aleatoria.</w:t>
      </w:r>
    </w:p>
    <w:p>
      <w:pPr>
        <w:pStyle w:val="Heading2"/>
        <w:spacing w:after="120" w:before="240"/>
      </w:pPr>
      <w:r>
        <w:t xml:space="preserve">5.2 Problemas de privacidad y confianza</w:t>
      </w:r>
    </w:p>
    <w:p>
      <w:pPr>
        <w:pStyle w:val="ListParagraph"/>
        <w:numPr>
          <w:ilvl w:val="0"/>
          <w:numId w:val="1"/>
        </w:numPr>
        <w:spacing w:after="80"/>
      </w:pPr>
      <w:r>
        <w:t xml:space="preserve">No existe registro de consentimiento: no puede acreditarse quién autorizó qué tratamiento, cuándo, ni bajo qué versión del aviso de privacidad.</w:t>
      </w:r>
    </w:p>
    <w:p>
      <w:pPr>
        <w:pStyle w:val="ListParagraph"/>
        <w:numPr>
          <w:ilvl w:val="0"/>
          <w:numId w:val="1"/>
        </w:numPr>
        <w:spacing w:after="80"/>
      </w:pPr>
      <w:r>
        <w:t xml:space="preserve">No existe mecanismo para revocar el consentimiento ni para pausar temporalmente la recolección de datos.</w:t>
      </w:r>
    </w:p>
    <w:p>
      <w:pPr>
        <w:pStyle w:val="ListParagraph"/>
        <w:numPr>
          <w:ilvl w:val="0"/>
          <w:numId w:val="1"/>
        </w:numPr>
        <w:spacing w:after="80"/>
      </w:pPr>
      <w:r>
        <w:t xml:space="preserve">Riesgo real de reidentificación: en la hoja de cálculo, el cruce de área, turno y antigüedad basta para individualizar a una persona en áreas pequeñas.</w:t>
      </w:r>
    </w:p>
    <w:p>
      <w:pPr>
        <w:pStyle w:val="ListParagraph"/>
        <w:numPr>
          <w:ilvl w:val="0"/>
          <w:numId w:val="1"/>
        </w:numPr>
        <w:spacing w:after="80"/>
      </w:pPr>
      <w:r>
        <w:t xml:space="preserve">Los concentrados con datos sensibles residen en archivos locales y correos, sin cifrado ni control de acceso.</w:t>
      </w:r>
    </w:p>
    <w:p>
      <w:pPr>
        <w:pStyle w:val="ListParagraph"/>
        <w:numPr>
          <w:ilvl w:val="0"/>
          <w:numId w:val="1"/>
        </w:numPr>
        <w:spacing w:after="80"/>
      </w:pPr>
      <w:r>
        <w:t xml:space="preserve">No hay bitácora: es imposible saber quién consultó qué información, cuándo y con qué finalidad.</w:t>
      </w:r>
    </w:p>
    <w:p>
      <w:pPr>
        <w:pStyle w:val="ListParagraph"/>
        <w:numPr>
          <w:ilvl w:val="0"/>
          <w:numId w:val="1"/>
        </w:numPr>
        <w:spacing w:after="80"/>
      </w:pPr>
      <w:r>
        <w:t xml:space="preserve">En algunos casos se han compartido listados con nombres a nivel gerencial, lo que constituye exactamente el uso que la normatividad busca impedir.</w:t>
      </w:r>
    </w:p>
    <w:p>
      <w:pPr>
        <w:pStyle w:val="Heading2"/>
        <w:spacing w:after="120" w:before="240"/>
      </w:pPr>
      <w:r>
        <w:t xml:space="preserve">5.3 Problemas de gestión y cumplimiento</w:t>
      </w:r>
    </w:p>
    <w:p>
      <w:pPr>
        <w:pStyle w:val="ListParagraph"/>
        <w:numPr>
          <w:ilvl w:val="0"/>
          <w:numId w:val="1"/>
        </w:numPr>
        <w:spacing w:after="80"/>
      </w:pPr>
      <w:r>
        <w:t xml:space="preserve">No se mide el efecto de las intervenciones, por lo que se repiten acciones sin evidencia de que funcionen.</w:t>
      </w:r>
    </w:p>
    <w:p>
      <w:pPr>
        <w:pStyle w:val="ListParagraph"/>
        <w:numPr>
          <w:ilvl w:val="0"/>
          <w:numId w:val="1"/>
        </w:numPr>
        <w:spacing w:after="80"/>
      </w:pPr>
      <w:r>
        <w:t xml:space="preserve">La evidencia documental de cumplimiento se reconstruye de forma artesanal cuando se aproxima una auditoría.</w:t>
      </w:r>
    </w:p>
    <w:p>
      <w:pPr>
        <w:pStyle w:val="ListParagraph"/>
        <w:numPr>
          <w:ilvl w:val="0"/>
          <w:numId w:val="1"/>
        </w:numPr>
        <w:spacing w:after="80"/>
      </w:pPr>
      <w:r>
        <w:t xml:space="preserve">No existe separación de funciones: la misma persona captura, analiza y difunde, sin controles cruzados.</w:t>
      </w:r>
    </w:p>
    <w:p>
      <w:pPr>
        <w:pStyle w:val="ListParagraph"/>
        <w:numPr>
          <w:ilvl w:val="0"/>
          <w:numId w:val="1"/>
        </w:numPr>
        <w:spacing w:after="80"/>
      </w:pPr>
      <w:r>
        <w:t xml:space="preserve">Los datos de dispositivos vestibles, que podrían aportar indicadores objetivos, están completamente desaprovechados.</w:t>
      </w:r>
    </w:p>
    <w:p>
      <w:pPr>
        <w:pStyle w:val="Heading1"/>
        <w:spacing w:after="160" w:before="320"/>
      </w:pPr>
      <w:r>
        <w:t xml:space="preserve">6. Información que debe capturarse</w:t>
      </w:r>
    </w:p>
    <w:p>
      <w:pPr>
        <w:spacing w:after="160"/>
        <w:jc w:val="both"/>
      </w:pPr>
      <w:r>
        <w:t xml:space="preserve">La información se clasifica por su nivel de identificabilidad, porque esa clasificación determina dónde se almacena, quién puede consultarla y por cuánto tiempo se conserva. El principio rector es la minimización: solo se captura aquello que es indispensable para una finalidad declarada.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600"/>
        <w:gridCol w:w="2060"/>
      </w:tblGrid>
      <w:tr>
        <w:trPr>
          <w:tblHeader/>
        </w:trPr>
        <w:tc>
          <w:tcPr>
            <w:tcW w:type="dxa" w:w="1900"/>
            <w:shd w:fill="1F3864" w:val="clear"/>
            <w:tcMar>
              <w:top w:type="dxa" w:w="80"/>
              <w:left w:type="dxa" w:w="100"/>
              <w:bottom w:type="dxa" w:w="80"/>
              <w:right w:type="dxa" w:w="100"/>
            </w:tcMar>
            <w:vAlign w:val="center"/>
          </w:tcPr>
          <w:p>
            <w:pPr>
              <w:jc w:val="center"/>
            </w:pPr>
            <w:r>
              <w:rPr>
                <w:b/>
                <w:bCs/>
                <w:color w:val="FFFFFF"/>
                <w:sz w:val="17"/>
                <w:szCs w:val="17"/>
              </w:rPr>
              <w:t xml:space="preserve">Categoría</w:t>
            </w:r>
          </w:p>
        </w:tc>
        <w:tc>
          <w:tcPr>
            <w:tcW w:type="dxa" w:w="3200"/>
            <w:shd w:fill="1F3864" w:val="clear"/>
            <w:tcMar>
              <w:top w:type="dxa" w:w="80"/>
              <w:left w:type="dxa" w:w="100"/>
              <w:bottom w:type="dxa" w:w="80"/>
              <w:right w:type="dxa" w:w="100"/>
            </w:tcMar>
            <w:vAlign w:val="center"/>
          </w:tcPr>
          <w:p>
            <w:pPr>
              <w:jc w:val="center"/>
            </w:pPr>
            <w:r>
              <w:rPr>
                <w:b/>
                <w:bCs/>
                <w:color w:val="FFFFFF"/>
                <w:sz w:val="17"/>
                <w:szCs w:val="17"/>
              </w:rPr>
              <w:t xml:space="preserve">Datos</w:t>
            </w:r>
          </w:p>
        </w:tc>
        <w:tc>
          <w:tcPr>
            <w:tcW w:type="dxa" w:w="1600"/>
            <w:shd w:fill="1F3864" w:val="clear"/>
            <w:tcMar>
              <w:top w:type="dxa" w:w="80"/>
              <w:left w:type="dxa" w:w="100"/>
              <w:bottom w:type="dxa" w:w="80"/>
              <w:right w:type="dxa" w:w="100"/>
            </w:tcMar>
            <w:vAlign w:val="center"/>
          </w:tcPr>
          <w:p>
            <w:pPr>
              <w:jc w:val="center"/>
            </w:pPr>
            <w:r>
              <w:rPr>
                <w:b/>
                <w:bCs/>
                <w:color w:val="FFFFFF"/>
                <w:sz w:val="17"/>
                <w:szCs w:val="17"/>
              </w:rPr>
              <w:t xml:space="preserve">Clasificación</w:t>
            </w:r>
          </w:p>
        </w:tc>
        <w:tc>
          <w:tcPr>
            <w:tcW w:type="dxa" w:w="2060"/>
            <w:shd w:fill="1F3864" w:val="clear"/>
            <w:tcMar>
              <w:top w:type="dxa" w:w="80"/>
              <w:left w:type="dxa" w:w="100"/>
              <w:bottom w:type="dxa" w:w="80"/>
              <w:right w:type="dxa" w:w="100"/>
            </w:tcMar>
            <w:vAlign w:val="center"/>
          </w:tcPr>
          <w:p>
            <w:pPr>
              <w:jc w:val="center"/>
            </w:pPr>
            <w:r>
              <w:rPr>
                <w:b/>
                <w:bCs/>
                <w:color w:val="FFFFFF"/>
                <w:sz w:val="17"/>
                <w:szCs w:val="17"/>
              </w:rPr>
              <w:t xml:space="preserve">Almacenamiento previsto</w:t>
            </w:r>
          </w:p>
        </w:tc>
      </w:tr>
      <w:tr>
        <w:tc>
          <w:tcPr>
            <w:tcW w:type="dxa" w:w="1900"/>
            <w:tcMar>
              <w:top w:type="dxa" w:w="80"/>
              <w:left w:type="dxa" w:w="100"/>
              <w:bottom w:type="dxa" w:w="80"/>
              <w:right w:type="dxa" w:w="100"/>
            </w:tcMar>
            <w:vAlign w:val="center"/>
          </w:tcPr>
          <w:p>
            <w:pPr>
              <w:jc w:val="left"/>
            </w:pPr>
            <w:r>
              <w:rPr>
                <w:b w:val="false"/>
                <w:bCs w:val="false"/>
                <w:color w:val="000000"/>
                <w:sz w:val="17"/>
                <w:szCs w:val="17"/>
              </w:rPr>
              <w:t xml:space="preserve">Identidad laboral</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Identificador de empleado, correo institucional, puesto, área, turno, fecha de ingreso, rol en el sistema</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Identificable</w:t>
            </w:r>
          </w:p>
        </w:tc>
        <w:tc>
          <w:tcPr>
            <w:tcW w:type="dxa" w:w="2060"/>
            <w:tcMar>
              <w:top w:type="dxa" w:w="80"/>
              <w:left w:type="dxa" w:w="100"/>
              <w:bottom w:type="dxa" w:w="80"/>
              <w:right w:type="dxa" w:w="100"/>
            </w:tcMar>
            <w:vAlign w:val="center"/>
          </w:tcPr>
          <w:p>
            <w:pPr>
              <w:jc w:val="left"/>
            </w:pPr>
            <w:r>
              <w:rPr>
                <w:b w:val="false"/>
                <w:bCs w:val="false"/>
                <w:color w:val="000000"/>
                <w:sz w:val="17"/>
                <w:szCs w:val="17"/>
              </w:rPr>
              <w:t xml:space="preserve">PostgreSQL</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Seudónimo</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Identificador sustituto que vincula a la persona con sus respuestas sin exponer su identidad</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Seudonimizado</w:t>
            </w:r>
          </w:p>
        </w:tc>
        <w:tc>
          <w:tcPr>
            <w:tcW w:type="dxa" w:w="2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PostgreSQL (tabla de correspondencia con acceso restringido)</w:t>
            </w:r>
          </w:p>
        </w:tc>
      </w:tr>
      <w:tr>
        <w:tc>
          <w:tcPr>
            <w:tcW w:type="dxa" w:w="1900"/>
            <w:tcMar>
              <w:top w:type="dxa" w:w="80"/>
              <w:left w:type="dxa" w:w="100"/>
              <w:bottom w:type="dxa" w:w="80"/>
              <w:right w:type="dxa" w:w="100"/>
            </w:tcMar>
            <w:vAlign w:val="center"/>
          </w:tcPr>
          <w:p>
            <w:pPr>
              <w:jc w:val="left"/>
            </w:pPr>
            <w:r>
              <w:rPr>
                <w:b w:val="false"/>
                <w:bCs w:val="false"/>
                <w:color w:val="000000"/>
                <w:sz w:val="17"/>
                <w:szCs w:val="17"/>
              </w:rPr>
              <w:t xml:space="preserve">Consentimiento</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Finalidad, versión del aviso de privacidad, fecha de otorgamiento, fecha de revocación, canal, evidencia</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Identificable</w:t>
            </w:r>
          </w:p>
        </w:tc>
        <w:tc>
          <w:tcPr>
            <w:tcW w:type="dxa" w:w="2060"/>
            <w:tcMar>
              <w:top w:type="dxa" w:w="80"/>
              <w:left w:type="dxa" w:w="100"/>
              <w:bottom w:type="dxa" w:w="80"/>
              <w:right w:type="dxa" w:w="100"/>
            </w:tcMar>
            <w:vAlign w:val="center"/>
          </w:tcPr>
          <w:p>
            <w:pPr>
              <w:jc w:val="left"/>
            </w:pPr>
            <w:r>
              <w:rPr>
                <w:b w:val="false"/>
                <w:bCs w:val="false"/>
                <w:color w:val="000000"/>
                <w:sz w:val="17"/>
                <w:szCs w:val="17"/>
              </w:rPr>
              <w:t xml:space="preserve">PostgreSQL</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Autoreporte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Respuestas a reactivos, escala, fecha, instrumento y campaña aplicados</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Seudonimizado</w:t>
            </w:r>
          </w:p>
        </w:tc>
        <w:tc>
          <w:tcPr>
            <w:tcW w:type="dxa" w:w="2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MongoDB</w:t>
            </w:r>
          </w:p>
        </w:tc>
      </w:tr>
      <w:tr>
        <w:tc>
          <w:tcPr>
            <w:tcW w:type="dxa" w:w="1900"/>
            <w:tcMar>
              <w:top w:type="dxa" w:w="80"/>
              <w:left w:type="dxa" w:w="100"/>
              <w:bottom w:type="dxa" w:w="80"/>
              <w:right w:type="dxa" w:w="100"/>
            </w:tcMar>
            <w:vAlign w:val="center"/>
          </w:tcPr>
          <w:p>
            <w:pPr>
              <w:jc w:val="left"/>
            </w:pPr>
            <w:r>
              <w:rPr>
                <w:b w:val="false"/>
                <w:bCs w:val="false"/>
                <w:color w:val="000000"/>
                <w:sz w:val="17"/>
                <w:szCs w:val="17"/>
              </w:rPr>
              <w:t xml:space="preserve">Indicadores fisiológicos</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Variabilidad de la frecuencia cardiaca, duración y calidad del sueño, nivel de actividad</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Seudonimizado</w:t>
            </w:r>
          </w:p>
        </w:tc>
        <w:tc>
          <w:tcPr>
            <w:tcW w:type="dxa" w:w="2060"/>
            <w:tcMar>
              <w:top w:type="dxa" w:w="80"/>
              <w:left w:type="dxa" w:w="100"/>
              <w:bottom w:type="dxa" w:w="80"/>
              <w:right w:type="dxa" w:w="100"/>
            </w:tcMar>
            <w:vAlign w:val="center"/>
          </w:tcPr>
          <w:p>
            <w:pPr>
              <w:jc w:val="left"/>
            </w:pPr>
            <w:r>
              <w:rPr>
                <w:b w:val="false"/>
                <w:bCs w:val="false"/>
                <w:color w:val="000000"/>
                <w:sz w:val="17"/>
                <w:szCs w:val="17"/>
              </w:rPr>
              <w:t xml:space="preserve">MongoDB</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Contexto organizacional</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Carga asignada, horas extra, rotación de turno, tamaño del equipo</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Agregable</w:t>
            </w:r>
          </w:p>
        </w:tc>
        <w:tc>
          <w:tcPr>
            <w:tcW w:type="dxa" w:w="2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PostgreSQL</w:t>
            </w:r>
          </w:p>
        </w:tc>
      </w:tr>
      <w:tr>
        <w:tc>
          <w:tcPr>
            <w:tcW w:type="dxa" w:w="1900"/>
            <w:tcMar>
              <w:top w:type="dxa" w:w="80"/>
              <w:left w:type="dxa" w:w="100"/>
              <w:bottom w:type="dxa" w:w="80"/>
              <w:right w:type="dxa" w:w="100"/>
            </w:tcMar>
            <w:vAlign w:val="center"/>
          </w:tcPr>
          <w:p>
            <w:pPr>
              <w:jc w:val="left"/>
            </w:pPr>
            <w:r>
              <w:rPr>
                <w:b w:val="false"/>
                <w:bCs w:val="false"/>
                <w:color w:val="000000"/>
                <w:sz w:val="17"/>
                <w:szCs w:val="17"/>
              </w:rPr>
              <w:t xml:space="preserve">Resultados agregados</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Puntajes por grupo, tendencias, brechas entre áreas, tamaño del grupo</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Agregado</w:t>
            </w:r>
          </w:p>
        </w:tc>
        <w:tc>
          <w:tcPr>
            <w:tcW w:type="dxa" w:w="2060"/>
            <w:tcMar>
              <w:top w:type="dxa" w:w="80"/>
              <w:left w:type="dxa" w:w="100"/>
              <w:bottom w:type="dxa" w:w="80"/>
              <w:right w:type="dxa" w:w="100"/>
            </w:tcMar>
            <w:vAlign w:val="center"/>
          </w:tcPr>
          <w:p>
            <w:pPr>
              <w:jc w:val="left"/>
            </w:pPr>
            <w:r>
              <w:rPr>
                <w:b w:val="false"/>
                <w:bCs w:val="false"/>
                <w:color w:val="000000"/>
                <w:sz w:val="17"/>
                <w:szCs w:val="17"/>
              </w:rPr>
              <w:t xml:space="preserve">PostgreSQL y MongoDB</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Intervenciones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Tipo, área destino, responsable, periodo, indicadores de seguimiento</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Organizacional</w:t>
            </w:r>
          </w:p>
        </w:tc>
        <w:tc>
          <w:tcPr>
            <w:tcW w:type="dxa" w:w="2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PostgreSQL</w:t>
            </w:r>
          </w:p>
        </w:tc>
      </w:tr>
      <w:tr>
        <w:tc>
          <w:tcPr>
            <w:tcW w:type="dxa" w:w="1900"/>
            <w:tcMar>
              <w:top w:type="dxa" w:w="80"/>
              <w:left w:type="dxa" w:w="100"/>
              <w:bottom w:type="dxa" w:w="80"/>
              <w:right w:type="dxa" w:w="100"/>
            </w:tcMar>
            <w:vAlign w:val="center"/>
          </w:tcPr>
          <w:p>
            <w:pPr>
              <w:jc w:val="left"/>
            </w:pPr>
            <w:r>
              <w:rPr>
                <w:b w:val="false"/>
                <w:bCs w:val="false"/>
                <w:color w:val="000000"/>
                <w:sz w:val="17"/>
                <w:szCs w:val="17"/>
              </w:rPr>
              <w:t xml:space="preserve">Bitácora de auditoría</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Actor, acción, recurso, resultado, marca de tiempo, dirección de origen, identificador de correlación</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Metadato</w:t>
            </w:r>
          </w:p>
        </w:tc>
        <w:tc>
          <w:tcPr>
            <w:tcW w:type="dxa" w:w="2060"/>
            <w:tcMar>
              <w:top w:type="dxa" w:w="80"/>
              <w:left w:type="dxa" w:w="100"/>
              <w:bottom w:type="dxa" w:w="80"/>
              <w:right w:type="dxa" w:w="100"/>
            </w:tcMar>
            <w:vAlign w:val="center"/>
          </w:tcPr>
          <w:p>
            <w:pPr>
              <w:jc w:val="left"/>
            </w:pPr>
            <w:r>
              <w:rPr>
                <w:b w:val="false"/>
                <w:bCs w:val="false"/>
                <w:color w:val="000000"/>
                <w:sz w:val="17"/>
                <w:szCs w:val="17"/>
              </w:rPr>
              <w:t xml:space="preserve">MongoDB</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Operación del sistema</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Sesiones activas, tokens revocados, contadores de intentos, caché de agregados</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Temporal</w:t>
            </w:r>
          </w:p>
        </w:tc>
        <w:tc>
          <w:tcPr>
            <w:tcW w:type="dxa" w:w="2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Redis</w:t>
            </w:r>
          </w:p>
        </w:tc>
      </w:tr>
      <w:tr>
        <w:tc>
          <w:tcPr>
            <w:tcW w:type="dxa" w:w="1900"/>
            <w:tcMar>
              <w:top w:type="dxa" w:w="80"/>
              <w:left w:type="dxa" w:w="100"/>
              <w:bottom w:type="dxa" w:w="80"/>
              <w:right w:type="dxa" w:w="100"/>
            </w:tcMar>
            <w:vAlign w:val="center"/>
          </w:tcPr>
          <w:p>
            <w:pPr>
              <w:jc w:val="left"/>
            </w:pPr>
            <w:r>
              <w:rPr>
                <w:b w:val="false"/>
                <w:bCs w:val="false"/>
                <w:color w:val="000000"/>
                <w:sz w:val="17"/>
                <w:szCs w:val="17"/>
              </w:rPr>
              <w:t xml:space="preserve">Evidencias y reportes</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Informes generados, archivos de campaña, documentos de intervención</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Documental</w:t>
            </w:r>
          </w:p>
        </w:tc>
        <w:tc>
          <w:tcPr>
            <w:tcW w:type="dxa" w:w="2060"/>
            <w:tcMar>
              <w:top w:type="dxa" w:w="80"/>
              <w:left w:type="dxa" w:w="100"/>
              <w:bottom w:type="dxa" w:w="80"/>
              <w:right w:type="dxa" w:w="100"/>
            </w:tcMar>
            <w:vAlign w:val="center"/>
          </w:tcPr>
          <w:p>
            <w:pPr>
              <w:jc w:val="left"/>
            </w:pPr>
            <w:r>
              <w:rPr>
                <w:b w:val="false"/>
                <w:bCs w:val="false"/>
                <w:color w:val="000000"/>
                <w:sz w:val="17"/>
                <w:szCs w:val="17"/>
              </w:rPr>
              <w:t xml:space="preserve">Google Cloud Storage</w:t>
            </w:r>
          </w:p>
        </w:tc>
      </w:tr>
    </w:tbl>
    <w:p>
      <w:pPr>
        <w:spacing w:after="160"/>
        <w:jc w:val="both"/>
      </w:pPr>
      <w:r>
        <w:t xml:space="preserve"/>
      </w:r>
    </w:p>
    <w:p>
      <w:pPr>
        <w:spacing w:after="160"/>
        <w:jc w:val="both"/>
      </w:pPr>
      <w:r>
        <w:rPr>
          <w:b/>
          <w:bCs/>
          <w:i w:val="false"/>
          <w:iCs w:val="false"/>
        </w:rPr>
        <w:t xml:space="preserve">Dato que deliberadamente no se captura: </w:t>
      </w:r>
      <w:r>
        <w:rPr>
          <w:b w:val="false"/>
          <w:bCs w:val="false"/>
          <w:i w:val="false"/>
          <w:iCs w:val="false"/>
        </w:rPr>
        <w:t xml:space="preserve">contenido de comunicaciones, ubicación geográfica continua, actividad en equipos de cómputo, diagnósticos clínicos y cualquier categoría especialmente protegida que no sea estrictamente necesaria para la finalidad declarada. Esta omisión es una decisión de diseño, no un faltante del análisis.</w:t>
      </w:r>
    </w:p>
    <w:p>
      <w:pPr>
        <w:pStyle w:val="Heading1"/>
        <w:spacing w:after="160" w:before="320"/>
      </w:pPr>
      <w:r>
        <w:t xml:space="preserve">7. Decisiones que debe apoyar el sistema</w:t>
      </w:r>
    </w:p>
    <w:p>
      <w:pPr>
        <w:spacing w:after="160"/>
        <w:jc w:val="both"/>
      </w:pPr>
      <w:r>
        <w:t xml:space="preserve">El sistema no toma decisiones: produce evidencia para que las personas decidan. Las decisiones que debe sustentar son las siguientes.</w:t>
      </w:r>
    </w:p>
    <w:p>
      <w:pPr>
        <w:pStyle w:val="Heading2"/>
        <w:spacing w:after="120" w:before="240"/>
      </w:pPr>
      <w:r>
        <w:t xml:space="preserve">7.1 Decisiones organizacionales</w:t>
      </w:r>
    </w:p>
    <w:p>
      <w:pPr>
        <w:pStyle w:val="ListParagraph"/>
        <w:numPr>
          <w:ilvl w:val="0"/>
          <w:numId w:val="1"/>
        </w:numPr>
        <w:spacing w:after="80"/>
      </w:pPr>
      <w:r>
        <w:t xml:space="preserve">En qué áreas o turnos concentrar una intervención, con base en el nivel de riesgo agregado y en la brecha respecto de otras áreas comparables.</w:t>
      </w:r>
    </w:p>
    <w:p>
      <w:pPr>
        <w:pStyle w:val="ListParagraph"/>
        <w:numPr>
          <w:ilvl w:val="0"/>
          <w:numId w:val="1"/>
        </w:numPr>
        <w:spacing w:after="80"/>
      </w:pPr>
      <w:r>
        <w:t xml:space="preserve">Qué tipo de intervención aplicar: redistribución de carga, ajuste de rotación de turnos, refuerzo de plantilla, capacitación, ajuste de metas o acompañamiento.</w:t>
      </w:r>
    </w:p>
    <w:p>
      <w:pPr>
        <w:pStyle w:val="ListParagraph"/>
        <w:numPr>
          <w:ilvl w:val="0"/>
          <w:numId w:val="1"/>
        </w:numPr>
        <w:spacing w:after="80"/>
      </w:pPr>
      <w:r>
        <w:t xml:space="preserve">En qué momento lanzar una campaña de medición, considerando la estacionalidad de la operación.</w:t>
      </w:r>
    </w:p>
    <w:p>
      <w:pPr>
        <w:pStyle w:val="ListParagraph"/>
        <w:numPr>
          <w:ilvl w:val="0"/>
          <w:numId w:val="1"/>
        </w:numPr>
        <w:spacing w:after="80"/>
      </w:pPr>
      <w:r>
        <w:t xml:space="preserve">Si una intervención ya ejecutada produjo un efecto medible, comparando el periodo posterior contra la línea base.</w:t>
      </w:r>
    </w:p>
    <w:p>
      <w:pPr>
        <w:pStyle w:val="ListParagraph"/>
        <w:numPr>
          <w:ilvl w:val="0"/>
          <w:numId w:val="1"/>
        </w:numPr>
        <w:spacing w:after="80"/>
      </w:pPr>
      <w:r>
        <w:t xml:space="preserve">Cómo priorizar la asignación de un presupuesto limitado de bienestar entre áreas que compiten por él.</w:t>
      </w:r>
    </w:p>
    <w:p>
      <w:pPr>
        <w:pStyle w:val="Heading2"/>
        <w:spacing w:after="120" w:before="240"/>
      </w:pPr>
      <w:r>
        <w:t xml:space="preserve">7.2 Decisiones individuales (de la propia persona)</w:t>
      </w:r>
    </w:p>
    <w:p>
      <w:pPr>
        <w:pStyle w:val="ListParagraph"/>
        <w:numPr>
          <w:ilvl w:val="0"/>
          <w:numId w:val="1"/>
        </w:numPr>
        <w:spacing w:after="80"/>
      </w:pPr>
      <w:r>
        <w:t xml:space="preserve">Si otorga, limita o revoca su consentimiento para cada finalidad de tratamiento.</w:t>
      </w:r>
    </w:p>
    <w:p>
      <w:pPr>
        <w:pStyle w:val="ListParagraph"/>
        <w:numPr>
          <w:ilvl w:val="0"/>
          <w:numId w:val="1"/>
        </w:numPr>
        <w:spacing w:after="80"/>
      </w:pPr>
      <w:r>
        <w:t xml:space="preserve">Si desea vincular un dispositivo vestible y qué indicadores autoriza compartir.</w:t>
      </w:r>
    </w:p>
    <w:p>
      <w:pPr>
        <w:pStyle w:val="ListParagraph"/>
        <w:numPr>
          <w:ilvl w:val="0"/>
          <w:numId w:val="1"/>
        </w:numPr>
        <w:spacing w:after="80"/>
      </w:pPr>
      <w:r>
        <w:t xml:space="preserve">Si solicita apoyo profesional, con base en la observación de su propia tendencia.</w:t>
      </w:r>
    </w:p>
    <w:p>
      <w:pPr>
        <w:pStyle w:val="Heading2"/>
        <w:spacing w:after="120" w:before="240"/>
      </w:pPr>
      <w:r>
        <w:t xml:space="preserve">7.3 Decisiones de cumplimiento y gobierno</w:t>
      </w:r>
    </w:p>
    <w:p>
      <w:pPr>
        <w:pStyle w:val="ListParagraph"/>
        <w:numPr>
          <w:ilvl w:val="0"/>
          <w:numId w:val="1"/>
        </w:numPr>
        <w:spacing w:after="80"/>
      </w:pPr>
      <w:r>
        <w:t xml:space="preserve">Si un resultado agregado puede publicarse sin comprometer la identidad de las personas del grupo.</w:t>
      </w:r>
    </w:p>
    <w:p>
      <w:pPr>
        <w:pStyle w:val="ListParagraph"/>
        <w:numPr>
          <w:ilvl w:val="0"/>
          <w:numId w:val="1"/>
        </w:numPr>
        <w:spacing w:after="80"/>
      </w:pPr>
      <w:r>
        <w:t xml:space="preserve">Si una solicitud de acceso a información por parte de un perfil está justificada y debe registrarse.</w:t>
      </w:r>
    </w:p>
    <w:p>
      <w:pPr>
        <w:pStyle w:val="ListParagraph"/>
        <w:numPr>
          <w:ilvl w:val="0"/>
          <w:numId w:val="1"/>
        </w:numPr>
        <w:spacing w:after="80"/>
      </w:pPr>
      <w:r>
        <w:t xml:space="preserve">Si la evidencia de consentimiento y de aplicación del instrumento es suficiente ante una auditoría.</w:t>
      </w:r>
    </w:p>
    <w:p>
      <w:pPr>
        <w:pStyle w:val="Heading1"/>
        <w:spacing w:after="160" w:before="320"/>
      </w:pPr>
      <w:r>
        <w:t xml:space="preserve">8. Actividades que pueden automatizarse</w:t>
      </w:r>
    </w:p>
    <w:p>
      <w:pPr>
        <w:pStyle w:val="ListParagraph"/>
        <w:numPr>
          <w:ilvl w:val="0"/>
          <w:numId w:val="1"/>
        </w:numPr>
        <w:spacing w:after="80"/>
      </w:pPr>
      <w:r>
        <w:t xml:space="preserve">Distribución de campañas y envío de recordatorios de participación.</w:t>
      </w:r>
    </w:p>
    <w:p>
      <w:pPr>
        <w:pStyle w:val="ListParagraph"/>
        <w:numPr>
          <w:ilvl w:val="0"/>
          <w:numId w:val="1"/>
        </w:numPr>
        <w:spacing w:after="80"/>
      </w:pPr>
      <w:r>
        <w:t xml:space="preserve">Captura y validación de respuestas, incluida la detección de patrones de respuesta no válidos.</w:t>
      </w:r>
    </w:p>
    <w:p>
      <w:pPr>
        <w:pStyle w:val="ListParagraph"/>
        <w:numPr>
          <w:ilvl w:val="0"/>
          <w:numId w:val="1"/>
        </w:numPr>
        <w:spacing w:after="80"/>
      </w:pPr>
      <w:r>
        <w:t xml:space="preserve">Cálculo de puntajes por instrumento y por dimensión.</w:t>
      </w:r>
    </w:p>
    <w:p>
      <w:pPr>
        <w:pStyle w:val="ListParagraph"/>
        <w:numPr>
          <w:ilvl w:val="0"/>
          <w:numId w:val="1"/>
        </w:numPr>
        <w:spacing w:after="80"/>
      </w:pPr>
      <w:r>
        <w:t xml:space="preserve">Ingesta y normalización de indicadores provenientes de dispositivos vestibles.</w:t>
      </w:r>
    </w:p>
    <w:p>
      <w:pPr>
        <w:pStyle w:val="ListParagraph"/>
        <w:numPr>
          <w:ilvl w:val="0"/>
          <w:numId w:val="1"/>
        </w:numPr>
        <w:spacing w:after="80"/>
      </w:pPr>
      <w:r>
        <w:t xml:space="preserve">Seudonimización automática en el momento de la captura.</w:t>
      </w:r>
    </w:p>
    <w:p>
      <w:pPr>
        <w:pStyle w:val="ListParagraph"/>
        <w:numPr>
          <w:ilvl w:val="0"/>
          <w:numId w:val="1"/>
        </w:numPr>
        <w:spacing w:after="80"/>
      </w:pPr>
      <w:r>
        <w:t xml:space="preserve">Verificación del umbral mínimo de grupo y aplicación del mecanismo de privacidad diferencial antes de exponer cualquier resultado agregado, con descuento del presupuesto de épsilon.</w:t>
      </w:r>
    </w:p>
    <w:p>
      <w:pPr>
        <w:pStyle w:val="ListParagraph"/>
        <w:numPr>
          <w:ilvl w:val="0"/>
          <w:numId w:val="1"/>
        </w:numPr>
        <w:spacing w:after="80"/>
      </w:pPr>
      <w:r>
        <w:t xml:space="preserve">Generación de métricas agregadas, tendencias y comparativos entre áreas.</w:t>
      </w:r>
    </w:p>
    <w:p>
      <w:pPr>
        <w:pStyle w:val="ListParagraph"/>
        <w:numPr>
          <w:ilvl w:val="0"/>
          <w:numId w:val="1"/>
        </w:numPr>
        <w:spacing w:after="80"/>
      </w:pPr>
      <w:r>
        <w:t xml:space="preserve">Emisión de alertas a nivel de grupo cuando una tendencia agregada cruza un umbral definido.</w:t>
      </w:r>
    </w:p>
    <w:p>
      <w:pPr>
        <w:pStyle w:val="ListParagraph"/>
        <w:numPr>
          <w:ilvl w:val="0"/>
          <w:numId w:val="1"/>
        </w:numPr>
        <w:spacing w:after="80"/>
      </w:pPr>
      <w:r>
        <w:t xml:space="preserve">Registro automático de la bitácora de auditoría en cada acceso a información.</w:t>
      </w:r>
    </w:p>
    <w:p>
      <w:pPr>
        <w:pStyle w:val="ListParagraph"/>
        <w:numPr>
          <w:ilvl w:val="0"/>
          <w:numId w:val="1"/>
        </w:numPr>
        <w:spacing w:after="80"/>
      </w:pPr>
      <w:r>
        <w:t xml:space="preserve">Expiración y renovación del consentimiento conforme a su vigencia.</w:t>
      </w:r>
    </w:p>
    <w:p>
      <w:pPr>
        <w:pStyle w:val="ListParagraph"/>
        <w:numPr>
          <w:ilvl w:val="0"/>
          <w:numId w:val="1"/>
        </w:numPr>
        <w:spacing w:after="80"/>
      </w:pPr>
      <w:r>
        <w:t xml:space="preserve">Aplicación de políticas de retención y depuración de datos vencidos.</w:t>
      </w:r>
    </w:p>
    <w:p>
      <w:pPr>
        <w:pStyle w:val="ListParagraph"/>
        <w:numPr>
          <w:ilvl w:val="0"/>
          <w:numId w:val="1"/>
        </w:numPr>
        <w:spacing w:after="80"/>
      </w:pPr>
      <w:r>
        <w:t xml:space="preserve">Generación de la evidencia documental de cumplimiento normativo.</w:t>
      </w:r>
    </w:p>
    <w:p>
      <w:pPr>
        <w:pStyle w:val="Heading2"/>
        <w:spacing w:after="120" w:before="240"/>
      </w:pPr>
      <w:r>
        <w:t xml:space="preserve">8.1 Actividades que deben permanecer bajo responsabilidad humana</w:t>
      </w:r>
    </w:p>
    <w:p>
      <w:pPr>
        <w:spacing w:after="160"/>
        <w:jc w:val="both"/>
      </w:pPr>
      <w:r>
        <w:t xml:space="preserve">Esta delimitación es tan importante como la anterior y forma parte del alcance del sistema.</w:t>
      </w:r>
    </w:p>
    <w:p>
      <w:pPr>
        <w:pStyle w:val="ListParagraph"/>
        <w:numPr>
          <w:ilvl w:val="0"/>
          <w:numId w:val="1"/>
        </w:numPr>
        <w:spacing w:after="80"/>
      </w:pPr>
      <w:r>
        <w:t xml:space="preserve">Emitir cualquier diagnóstico clínico o de salud mental. El sistema produce indicadores, no diagnósticos.</w:t>
      </w:r>
    </w:p>
    <w:p>
      <w:pPr>
        <w:pStyle w:val="ListParagraph"/>
        <w:numPr>
          <w:ilvl w:val="0"/>
          <w:numId w:val="1"/>
        </w:numPr>
        <w:spacing w:after="80"/>
      </w:pPr>
      <w:r>
        <w:t xml:space="preserve">Contactar a una persona identificada como en riesgo. El contacto lo inicia un profesional de bienestar, y solo si la persona lo solicitó o consintió expresamente ese contacto.</w:t>
      </w:r>
    </w:p>
    <w:p>
      <w:pPr>
        <w:pStyle w:val="ListParagraph"/>
        <w:numPr>
          <w:ilvl w:val="0"/>
          <w:numId w:val="1"/>
        </w:numPr>
        <w:spacing w:after="80"/>
      </w:pPr>
      <w:r>
        <w:t xml:space="preserve">Tomar decisiones laborales: contratación, promoción, asignación, evaluación de desempeño o terminación. El sistema debe impedir estructuralmente que sus datos alimenten estas decisiones.</w:t>
      </w:r>
    </w:p>
    <w:p>
      <w:pPr>
        <w:pStyle w:val="ListParagraph"/>
        <w:numPr>
          <w:ilvl w:val="0"/>
          <w:numId w:val="1"/>
        </w:numPr>
        <w:spacing w:after="80"/>
      </w:pPr>
      <w:r>
        <w:t xml:space="preserve">Interpretar el resultado de un área y decidir la intervención concreta.</w:t>
      </w:r>
    </w:p>
    <w:p>
      <w:pPr>
        <w:pStyle w:val="ListParagraph"/>
        <w:numPr>
          <w:ilvl w:val="0"/>
          <w:numId w:val="1"/>
        </w:numPr>
        <w:spacing w:after="80"/>
      </w:pPr>
      <w:r>
        <w:t xml:space="preserve">Autorizar excepciones a las reglas de privacidad, lo cual corresponde al Comité NOM-035.</w:t>
      </w:r>
    </w:p>
    <w:p>
      <w:pPr>
        <w:pStyle w:val="ListParagraph"/>
        <w:numPr>
          <w:ilvl w:val="0"/>
          <w:numId w:val="1"/>
        </w:numPr>
        <w:spacing w:after="80"/>
      </w:pPr>
      <w:r>
        <w:t xml:space="preserve">Atender una situación de crisis, que se canaliza siempre a un servicio profesional externo.</w:t>
      </w:r>
    </w:p>
    <w:p>
      <w:pPr>
        <w:pStyle w:val="Heading1"/>
        <w:spacing w:after="160" w:before="320"/>
      </w:pPr>
      <w:r>
        <w:t xml:space="preserve">9. Riesgos del negocio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06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sz w:val="17"/>
                <w:szCs w:val="17"/>
              </w:rPr>
              <w:t xml:space="preserve">ID</w:t>
            </w:r>
          </w:p>
        </w:tc>
        <w:tc>
          <w:tcPr>
            <w:tcW w:type="dxa" w:w="2600"/>
            <w:shd w:fill="1F3864" w:val="clear"/>
            <w:tcMar>
              <w:top w:type="dxa" w:w="80"/>
              <w:left w:type="dxa" w:w="100"/>
              <w:bottom w:type="dxa" w:w="80"/>
              <w:right w:type="dxa" w:w="100"/>
            </w:tcMar>
            <w:vAlign w:val="center"/>
          </w:tcPr>
          <w:p>
            <w:pPr>
              <w:jc w:val="center"/>
            </w:pPr>
            <w:r>
              <w:rPr>
                <w:b/>
                <w:bCs/>
                <w:color w:val="FFFFFF"/>
                <w:sz w:val="17"/>
                <w:szCs w:val="17"/>
              </w:rPr>
              <w:t xml:space="preserve">Riesgo</w:t>
            </w:r>
          </w:p>
        </w:tc>
        <w:tc>
          <w:tcPr>
            <w:tcW w:type="dxa" w:w="2400"/>
            <w:shd w:fill="1F3864" w:val="clear"/>
            <w:tcMar>
              <w:top w:type="dxa" w:w="80"/>
              <w:left w:type="dxa" w:w="100"/>
              <w:bottom w:type="dxa" w:w="80"/>
              <w:right w:type="dxa" w:w="100"/>
            </w:tcMar>
            <w:vAlign w:val="center"/>
          </w:tcPr>
          <w:p>
            <w:pPr>
              <w:jc w:val="center"/>
            </w:pPr>
            <w:r>
              <w:rPr>
                <w:b/>
                <w:bCs/>
                <w:color w:val="FFFFFF"/>
                <w:sz w:val="17"/>
                <w:szCs w:val="17"/>
              </w:rPr>
              <w:t xml:space="preserve">Impacto</w:t>
            </w:r>
          </w:p>
        </w:tc>
        <w:tc>
          <w:tcPr>
            <w:tcW w:type="dxa" w:w="3060"/>
            <w:shd w:fill="1F3864" w:val="clear"/>
            <w:tcMar>
              <w:top w:type="dxa" w:w="80"/>
              <w:left w:type="dxa" w:w="100"/>
              <w:bottom w:type="dxa" w:w="80"/>
              <w:right w:type="dxa" w:w="100"/>
            </w:tcMar>
            <w:vAlign w:val="center"/>
          </w:tcPr>
          <w:p>
            <w:pPr>
              <w:jc w:val="center"/>
            </w:pPr>
            <w:r>
              <w:rPr>
                <w:b/>
                <w:bCs/>
                <w:color w:val="FFFFFF"/>
                <w:sz w:val="17"/>
                <w:szCs w:val="17"/>
              </w:rPr>
              <w:t xml:space="preserve">Mitigación prevista</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R-01</w:t>
            </w:r>
          </w:p>
        </w:tc>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El personal percibe la plataforma como un mecanismo de vigilancia</w:t>
            </w:r>
          </w:p>
        </w:tc>
        <w:tc>
          <w:tcPr>
            <w:tcW w:type="dxa" w:w="2400"/>
            <w:tcMar>
              <w:top w:type="dxa" w:w="80"/>
              <w:left w:type="dxa" w:w="100"/>
              <w:bottom w:type="dxa" w:w="80"/>
              <w:right w:type="dxa" w:w="100"/>
            </w:tcMar>
            <w:vAlign w:val="center"/>
          </w:tcPr>
          <w:p>
            <w:pPr>
              <w:jc w:val="left"/>
            </w:pPr>
            <w:r>
              <w:rPr>
                <w:b w:val="false"/>
                <w:bCs w:val="false"/>
                <w:color w:val="000000"/>
                <w:sz w:val="17"/>
                <w:szCs w:val="17"/>
              </w:rPr>
              <w:t xml:space="preserve">Participación insuficiente; los datos pierden validez y el proyecto fracasa</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Voluntariedad real, transparencia sobre quién ve qué, visualización para el empleado de todos los accesos a su información</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R-02</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Reidentificación de una persona a partir de resultados agregados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Daño a la persona, incumplimiento normativo y pérdida de confianza</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Umbral mínimo de grupo, supresión de celdas pequeñas, restricción de cruces de atributos y privacidad diferencial</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R-03</w:t>
            </w:r>
          </w:p>
        </w:tc>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Uso indebido de la información por un mando con autoridad laboral</w:t>
            </w:r>
          </w:p>
        </w:tc>
        <w:tc>
          <w:tcPr>
            <w:tcW w:type="dxa" w:w="2400"/>
            <w:tcMar>
              <w:top w:type="dxa" w:w="80"/>
              <w:left w:type="dxa" w:w="100"/>
              <w:bottom w:type="dxa" w:w="80"/>
              <w:right w:type="dxa" w:w="100"/>
            </w:tcMar>
            <w:vAlign w:val="center"/>
          </w:tcPr>
          <w:p>
            <w:pPr>
              <w:jc w:val="left"/>
            </w:pPr>
            <w:r>
              <w:rPr>
                <w:b w:val="false"/>
                <w:bCs w:val="false"/>
                <w:color w:val="000000"/>
                <w:sz w:val="17"/>
                <w:szCs w:val="17"/>
              </w:rPr>
              <w:t xml:space="preserve">Represalias, litigio laboral y daño reputacional</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Separación de permisos, imposibilidad estructural de acceder al dato individual y bitácora de auditoría revisada por el Comité NOM-035</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R-04</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Fuga de datos personales sensibles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Sanción de la autoridad reguladora y pérdida de confianza</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Cifrado en tránsito y en reposo, secretos fuera del código, URLs firmadas y control de acceso por recurso</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R-05</w:t>
            </w:r>
          </w:p>
        </w:tc>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Sesgo del autoreporte: las personas responden lo que se espera de ellas</w:t>
            </w:r>
          </w:p>
        </w:tc>
        <w:tc>
          <w:tcPr>
            <w:tcW w:type="dxa" w:w="2400"/>
            <w:tcMar>
              <w:top w:type="dxa" w:w="80"/>
              <w:left w:type="dxa" w:w="100"/>
              <w:bottom w:type="dxa" w:w="80"/>
              <w:right w:type="dxa" w:w="100"/>
            </w:tcMar>
            <w:vAlign w:val="center"/>
          </w:tcPr>
          <w:p>
            <w:pPr>
              <w:jc w:val="left"/>
            </w:pPr>
            <w:r>
              <w:rPr>
                <w:b w:val="false"/>
                <w:bCs w:val="false"/>
                <w:color w:val="000000"/>
                <w:sz w:val="17"/>
                <w:szCs w:val="17"/>
              </w:rPr>
              <w:t xml:space="preserve">Decisiones organizacionales basadas en información distorsionada</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Imposibilidad estructural de reidentificación, verificable por el propio colaborador; combinación con indicadores objetivos y análisis de tendencia en lugar de valores absolutos</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R-06</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Consentimiento viciado por la asimetría de poder de la relación laboral</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Invalidez jurídica del tratamiento de datos</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Consentimiento específico por finalidad, revocable en cualquier momento, sin consecuencia laboral y sin que el mando conozca quién participó</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R-07</w:t>
            </w:r>
          </w:p>
        </w:tc>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Falso negativo: el sistema no detecta una situación de riesgo real</w:t>
            </w:r>
          </w:p>
        </w:tc>
        <w:tc>
          <w:tcPr>
            <w:tcW w:type="dxa" w:w="2400"/>
            <w:tcMar>
              <w:top w:type="dxa" w:w="80"/>
              <w:left w:type="dxa" w:w="100"/>
              <w:bottom w:type="dxa" w:w="80"/>
              <w:right w:type="dxa" w:w="100"/>
            </w:tcMar>
            <w:vAlign w:val="center"/>
          </w:tcPr>
          <w:p>
            <w:pPr>
              <w:jc w:val="left"/>
            </w:pPr>
            <w:r>
              <w:rPr>
                <w:b w:val="false"/>
                <w:bCs w:val="false"/>
                <w:color w:val="000000"/>
                <w:sz w:val="17"/>
                <w:szCs w:val="17"/>
              </w:rPr>
              <w:t xml:space="preserve">Daño a la persona y responsabilidad para la organización</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Declarar explícitamente las limitaciones del modelo, mantener canales de solicitud de apoyo siempre disponibles y no sustituir el criterio profesional</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R-08</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Falso positivo que estigmatiza a un grupo de trabajo</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Etiquetado de un área y deterioro del clima</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Reportar intervalos y tamaño de muestra, no rankings; validación por el profesional de bienestar antes de difundir</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R-09</w:t>
            </w:r>
          </w:p>
        </w:tc>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Baja adopción por parte de mandos medios</w:t>
            </w:r>
          </w:p>
        </w:tc>
        <w:tc>
          <w:tcPr>
            <w:tcW w:type="dxa" w:w="2400"/>
            <w:tcMar>
              <w:top w:type="dxa" w:w="80"/>
              <w:left w:type="dxa" w:w="100"/>
              <w:bottom w:type="dxa" w:w="80"/>
              <w:right w:type="dxa" w:w="100"/>
            </w:tcMar>
            <w:vAlign w:val="center"/>
          </w:tcPr>
          <w:p>
            <w:pPr>
              <w:jc w:val="left"/>
            </w:pPr>
            <w:r>
              <w:rPr>
                <w:b w:val="false"/>
                <w:bCs w:val="false"/>
                <w:color w:val="000000"/>
                <w:sz w:val="17"/>
                <w:szCs w:val="17"/>
              </w:rPr>
              <w:t xml:space="preserve">Los resultados no se traducen en intervenciones</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Recomendaciones accionables y seguimiento de la ejecución de intervenciones</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R-10</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Incumplimiento normativo en la evidencia de cumplimiento</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Observaciones en inspección y sanciones</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Generación automática de evidencia, bitácora íntegra y políticas de retención documentadas</w:t>
            </w:r>
          </w:p>
        </w:tc>
      </w:tr>
    </w:tbl>
    <w:p>
      <w:pPr>
        <w:pStyle w:val="Heading1"/>
        <w:spacing w:after="160" w:before="320"/>
      </w:pPr>
      <w:r>
        <w:t xml:space="preserve">10. Restricciones legales, éticas y de privacidad</w:t>
      </w:r>
    </w:p>
    <w:p>
      <w:pPr>
        <w:pStyle w:val="Heading2"/>
        <w:spacing w:after="120" w:before="240"/>
      </w:pPr>
      <w:r>
        <w:t xml:space="preserve">10.1 Marco legal aplicable</w:t>
      </w:r>
    </w:p>
    <w:p>
      <w:pPr>
        <w:spacing w:after="160"/>
        <w:jc w:val="both"/>
      </w:pPr>
      <w:r>
        <w:t xml:space="preserve">El proyecto opera bajo la legislación mexicana vigente. Los dos marcos determinantes son los siguientes.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96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17"/>
                <w:szCs w:val="17"/>
              </w:rPr>
              <w:t xml:space="preserve">Marco</w:t>
            </w:r>
          </w:p>
        </w:tc>
        <w:tc>
          <w:tcPr>
            <w:tcW w:type="dxa" w:w="3600"/>
            <w:shd w:fill="1F3864" w:val="clear"/>
            <w:tcMar>
              <w:top w:type="dxa" w:w="80"/>
              <w:left w:type="dxa" w:w="100"/>
              <w:bottom w:type="dxa" w:w="80"/>
              <w:right w:type="dxa" w:w="100"/>
            </w:tcMar>
            <w:vAlign w:val="center"/>
          </w:tcPr>
          <w:p>
            <w:pPr>
              <w:jc w:val="center"/>
            </w:pPr>
            <w:r>
              <w:rPr>
                <w:b/>
                <w:bCs/>
                <w:color w:val="FFFFFF"/>
                <w:sz w:val="17"/>
                <w:szCs w:val="17"/>
              </w:rPr>
              <w:t xml:space="preserve">Exigencia relevante</w:t>
            </w:r>
          </w:p>
        </w:tc>
        <w:tc>
          <w:tcPr>
            <w:tcW w:type="dxa" w:w="2960"/>
            <w:shd w:fill="1F3864" w:val="clear"/>
            <w:tcMar>
              <w:top w:type="dxa" w:w="80"/>
              <w:left w:type="dxa" w:w="100"/>
              <w:bottom w:type="dxa" w:w="80"/>
              <w:right w:type="dxa" w:w="100"/>
            </w:tcMar>
            <w:vAlign w:val="center"/>
          </w:tcPr>
          <w:p>
            <w:pPr>
              <w:jc w:val="center"/>
            </w:pPr>
            <w:r>
              <w:rPr>
                <w:b/>
                <w:bCs/>
                <w:color w:val="FFFFFF"/>
                <w:sz w:val="17"/>
                <w:szCs w:val="17"/>
              </w:rPr>
              <w:t xml:space="preserve">Implicación para el sistema</w:t>
            </w:r>
          </w:p>
        </w:tc>
      </w:tr>
      <w:tr>
        <w:tc>
          <w:tcPr>
            <w:tcW w:type="dxa" w:w="2200"/>
            <w:tcMar>
              <w:top w:type="dxa" w:w="80"/>
              <w:left w:type="dxa" w:w="100"/>
              <w:bottom w:type="dxa" w:w="80"/>
              <w:right w:type="dxa" w:w="100"/>
            </w:tcMar>
            <w:vAlign w:val="center"/>
          </w:tcPr>
          <w:p>
            <w:pPr>
              <w:jc w:val="left"/>
            </w:pPr>
            <w:r>
              <w:rPr>
                <w:b w:val="false"/>
                <w:bCs w:val="false"/>
                <w:color w:val="000000"/>
                <w:sz w:val="17"/>
                <w:szCs w:val="17"/>
              </w:rPr>
              <w:t xml:space="preserve">Ley Federal de Protección de Datos Personales en Posesión de los Particulares (publicada el 20 de marzo de 2025, en vigor desde el 21 de marzo de 2025)</w:t>
            </w:r>
          </w:p>
        </w:tc>
        <w:tc>
          <w:tcPr>
            <w:tcW w:type="dxa" w:w="3600"/>
            <w:tcMar>
              <w:top w:type="dxa" w:w="80"/>
              <w:left w:type="dxa" w:w="100"/>
              <w:bottom w:type="dxa" w:w="80"/>
              <w:right w:type="dxa" w:w="100"/>
            </w:tcMar>
            <w:vAlign w:val="center"/>
          </w:tcPr>
          <w:p>
            <w:pPr>
              <w:jc w:val="left"/>
            </w:pPr>
            <w:r>
              <w:rPr>
                <w:b w:val="false"/>
                <w:bCs w:val="false"/>
                <w:color w:val="000000"/>
                <w:sz w:val="17"/>
                <w:szCs w:val="17"/>
              </w:rPr>
              <w:t xml:space="preserve">El consentimiento debe ser libre, específico e informado. Tratándose de datos sensibles se requiere consentimiento expreso y por escrito, y el titular puede revocarlo en cualquier momento mediante un mecanismo sencillo y gratuito. Debe existir aviso de privacidad y garantizarse los derechos de acceso, rectificación, cancelación y oposición</w:t>
            </w:r>
          </w:p>
        </w:tc>
        <w:tc>
          <w:tcPr>
            <w:tcW w:type="dxa" w:w="2960"/>
            <w:tcMar>
              <w:top w:type="dxa" w:w="80"/>
              <w:left w:type="dxa" w:w="100"/>
              <w:bottom w:type="dxa" w:w="80"/>
              <w:right w:type="dxa" w:w="100"/>
            </w:tcMar>
            <w:vAlign w:val="center"/>
          </w:tcPr>
          <w:p>
            <w:pPr>
              <w:jc w:val="left"/>
            </w:pPr>
            <w:r>
              <w:rPr>
                <w:b w:val="false"/>
                <w:bCs w:val="false"/>
                <w:color w:val="000000"/>
                <w:sz w:val="17"/>
                <w:szCs w:val="17"/>
              </w:rPr>
              <w:t xml:space="preserve">El consentimiento se modela como una entidad con historial y versión del aviso, no como un campo booleano. La revocación debe estar disponible desde la aplicación móvil y surtir efecto inmediato sobre la recolección</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Autoridad reguladora</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supervisión y vigilancia en materia de protección de datos personales corresponde a la Secretaría Anticorrupción y Buen Gobierno, tras la desaparición del INAI</w:t>
            </w:r>
          </w:p>
        </w:tc>
        <w:tc>
          <w:tcPr>
            <w:tcW w:type="dxa" w:w="29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Los procedimientos internos de atención a solicitudes y la evidencia documental deben alinearse a esta autoridad</w:t>
            </w:r>
          </w:p>
        </w:tc>
      </w:tr>
      <w:tr>
        <w:tc>
          <w:tcPr>
            <w:tcW w:type="dxa" w:w="2200"/>
            <w:tcMar>
              <w:top w:type="dxa" w:w="80"/>
              <w:left w:type="dxa" w:w="100"/>
              <w:bottom w:type="dxa" w:w="80"/>
              <w:right w:type="dxa" w:w="100"/>
            </w:tcMar>
            <w:vAlign w:val="center"/>
          </w:tcPr>
          <w:p>
            <w:pPr>
              <w:jc w:val="left"/>
            </w:pPr>
            <w:r>
              <w:rPr>
                <w:b w:val="false"/>
                <w:bCs w:val="false"/>
                <w:color w:val="000000"/>
                <w:sz w:val="17"/>
                <w:szCs w:val="17"/>
              </w:rPr>
              <w:t xml:space="preserve">NOM-035-STPS-2018, factores de riesgo psicosocial en el trabajo</w:t>
            </w:r>
          </w:p>
        </w:tc>
        <w:tc>
          <w:tcPr>
            <w:tcW w:type="dxa" w:w="3600"/>
            <w:tcMar>
              <w:top w:type="dxa" w:w="80"/>
              <w:left w:type="dxa" w:w="100"/>
              <w:bottom w:type="dxa" w:w="80"/>
              <w:right w:type="dxa" w:w="100"/>
            </w:tcMar>
            <w:vAlign w:val="center"/>
          </w:tcPr>
          <w:p>
            <w:pPr>
              <w:jc w:val="left"/>
            </w:pPr>
            <w:r>
              <w:rPr>
                <w:b w:val="false"/>
                <w:bCs w:val="false"/>
                <w:color w:val="000000"/>
                <w:sz w:val="17"/>
                <w:szCs w:val="17"/>
              </w:rPr>
              <w:t xml:space="preserve">Los centros de trabajo con más de 50 personas deben identificar y analizar los factores de riesgo psicosocial y evaluar el entorno organizacional. El ejercicio debe realizarse al menos cada dos años y sus resultados deben estar disponibles para consulta del personal</w:t>
            </w:r>
          </w:p>
        </w:tc>
        <w:tc>
          <w:tcPr>
            <w:tcW w:type="dxa" w:w="2960"/>
            <w:tcMar>
              <w:top w:type="dxa" w:w="80"/>
              <w:left w:type="dxa" w:w="100"/>
              <w:bottom w:type="dxa" w:w="80"/>
              <w:right w:type="dxa" w:w="100"/>
            </w:tcMar>
            <w:vAlign w:val="center"/>
          </w:tcPr>
          <w:p>
            <w:pPr>
              <w:jc w:val="left"/>
            </w:pPr>
            <w:r>
              <w:rPr>
                <w:b w:val="false"/>
                <w:bCs w:val="false"/>
                <w:color w:val="000000"/>
                <w:sz w:val="17"/>
                <w:szCs w:val="17"/>
              </w:rPr>
              <w:t xml:space="preserve">Los instrumentos del catálogo deben poder alinearse a las guías de referencia de la norma; el sistema debe conservar histórico de al menos dos ciclos y ofrecer una vista de resultados consultable por el personal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Ley Federal del Trabajo</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Obligaciones del patrón en materia de condiciones dignas de trabajo y de resguardo de la información de las personas trabajadoras</w:t>
            </w:r>
          </w:p>
        </w:tc>
        <w:tc>
          <w:tcPr>
            <w:tcW w:type="dxa" w:w="29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información del sistema no puede utilizarse como insumo de decisiones disciplinarias ni de evaluación de desempeño</w:t>
            </w:r>
          </w:p>
        </w:tc>
      </w:tr>
    </w:tbl>
    <w:p>
      <w:pPr>
        <w:pStyle w:val="Heading2"/>
        <w:spacing w:after="120" w:before="240"/>
      </w:pPr>
      <w:r>
        <w:t xml:space="preserve">10.2 Restricciones éticas</w:t>
      </w:r>
    </w:p>
    <w:p>
      <w:pPr>
        <w:spacing w:after="160"/>
        <w:jc w:val="both"/>
      </w:pPr>
      <w:r>
        <w:t xml:space="preserve">El marco legal establece un mínimo. Este proyecto adopta condiciones adicionales que el equipo considera indispensables por la naturaleza de la relación laboral.</w:t>
      </w:r>
    </w:p>
    <w:p>
      <w:pPr>
        <w:pStyle w:val="ListParagraph"/>
        <w:numPr>
          <w:ilvl w:val="0"/>
          <w:numId w:val="1"/>
        </w:numPr>
        <w:spacing w:after="80"/>
      </w:pPr>
      <w:r>
        <w:t xml:space="preserve">Voluntariedad efectiva: no participar no puede tener ninguna consecuencia, y ningún mando puede conocer quién participó y quién no.</w:t>
      </w:r>
    </w:p>
    <w:p>
      <w:pPr>
        <w:pStyle w:val="ListParagraph"/>
        <w:numPr>
          <w:ilvl w:val="0"/>
          <w:numId w:val="1"/>
        </w:numPr>
        <w:spacing w:after="80"/>
      </w:pPr>
      <w:r>
        <w:t xml:space="preserve">Finalidad limitada: los datos se usan exclusivamente para prevención e intervención organizacional, nunca para evaluación individual.</w:t>
      </w:r>
    </w:p>
    <w:p>
      <w:pPr>
        <w:pStyle w:val="ListParagraph"/>
        <w:numPr>
          <w:ilvl w:val="0"/>
          <w:numId w:val="1"/>
        </w:numPr>
        <w:spacing w:after="80"/>
      </w:pPr>
      <w:r>
        <w:t xml:space="preserve">Transparencia radical: la persona puede consultar, en cualquier momento, qué datos existen sobre ella y quién los ha consultado.</w:t>
      </w:r>
    </w:p>
    <w:p>
      <w:pPr>
        <w:pStyle w:val="ListParagraph"/>
        <w:numPr>
          <w:ilvl w:val="0"/>
          <w:numId w:val="1"/>
        </w:numPr>
        <w:spacing w:after="80"/>
      </w:pPr>
      <w:r>
        <w:t xml:space="preserve">Derecho a pausar: la persona puede suspender temporalmente la recolección sin revocar del todo su consentimiento y sin dar explicaciones.</w:t>
      </w:r>
    </w:p>
    <w:p>
      <w:pPr>
        <w:pStyle w:val="ListParagraph"/>
        <w:numPr>
          <w:ilvl w:val="0"/>
          <w:numId w:val="1"/>
        </w:numPr>
        <w:spacing w:after="80"/>
      </w:pPr>
      <w:r>
        <w:t xml:space="preserve">Umbral mínimo de grupo y privacidad diferencial: ningún resultado agregado se muestra si el grupo no alcanza el tamaño mínimo definido, y todo resultado que sí se publica lleva ruido de Laplace calibrado a la sensibilidad de la consulta.</w:t>
      </w:r>
    </w:p>
    <w:p>
      <w:pPr>
        <w:pStyle w:val="ListParagraph"/>
        <w:numPr>
          <w:ilvl w:val="0"/>
          <w:numId w:val="1"/>
        </w:numPr>
        <w:spacing w:after="80"/>
      </w:pPr>
      <w:r>
        <w:t xml:space="preserve">Simetría informativa: los resultados que ve la organización sobre un área deben estar disponibles también para las personas de esa área.</w:t>
      </w:r>
    </w:p>
    <w:p>
      <w:pPr>
        <w:pStyle w:val="ListParagraph"/>
        <w:numPr>
          <w:ilvl w:val="0"/>
          <w:numId w:val="1"/>
        </w:numPr>
        <w:spacing w:after="80"/>
      </w:pPr>
      <w:r>
        <w:t xml:space="preserve">No sustitución del juicio profesional: los indicadores acompañan a la decisión humana, no la reemplazan.</w:t>
      </w:r>
    </w:p>
    <w:p>
      <w:pPr>
        <w:pStyle w:val="Heading2"/>
        <w:spacing w:after="120" w:before="240"/>
      </w:pPr>
      <w:r>
        <w:t xml:space="preserve">10.3 Restricciones técnicas derivadas</w:t>
      </w:r>
    </w:p>
    <w:p>
      <w:pPr>
        <w:pStyle w:val="ListParagraph"/>
        <w:numPr>
          <w:ilvl w:val="0"/>
          <w:numId w:val="1"/>
        </w:numPr>
        <w:spacing w:after="80"/>
      </w:pPr>
      <w:r>
        <w:t xml:space="preserve">Separación física entre la tabla de identidad y las tablas de respuestas, con seudónimo intermedio.</w:t>
      </w:r>
    </w:p>
    <w:p>
      <w:pPr>
        <w:pStyle w:val="ListParagraph"/>
        <w:numPr>
          <w:ilvl w:val="0"/>
          <w:numId w:val="1"/>
        </w:numPr>
        <w:spacing w:after="80"/>
      </w:pPr>
      <w:r>
        <w:t xml:space="preserve">Cifrado de comunicaciones y de datos sensibles en reposo.</w:t>
      </w:r>
    </w:p>
    <w:p>
      <w:pPr>
        <w:pStyle w:val="ListParagraph"/>
        <w:numPr>
          <w:ilvl w:val="0"/>
          <w:numId w:val="1"/>
        </w:numPr>
        <w:spacing w:after="80"/>
      </w:pPr>
      <w:r>
        <w:t xml:space="preserve">Autorización por recurso, no únicamente por rol.</w:t>
      </w:r>
    </w:p>
    <w:p>
      <w:pPr>
        <w:pStyle w:val="ListParagraph"/>
        <w:numPr>
          <w:ilvl w:val="0"/>
          <w:numId w:val="1"/>
        </w:numPr>
        <w:spacing w:after="80"/>
      </w:pPr>
      <w:r>
        <w:t xml:space="preserve">Bitácora inmutable de toda consulta a información personal o agregada.</w:t>
      </w:r>
    </w:p>
    <w:p>
      <w:pPr>
        <w:pStyle w:val="ListParagraph"/>
        <w:numPr>
          <w:ilvl w:val="0"/>
          <w:numId w:val="1"/>
        </w:numPr>
        <w:spacing w:after="80"/>
      </w:pPr>
      <w:r>
        <w:t xml:space="preserve">Eliminación lógica y políticas de retención explícitas por categoría de dato.</w:t>
      </w:r>
    </w:p>
    <w:p>
      <w:pPr>
        <w:pStyle w:val="ListParagraph"/>
        <w:numPr>
          <w:ilvl w:val="0"/>
          <w:numId w:val="1"/>
        </w:numPr>
        <w:spacing w:after="80"/>
      </w:pPr>
      <w:r>
        <w:t xml:space="preserve">Secretos fuera del código y URLs firmadas para todo objeto privado en el bucket.</w:t>
      </w:r>
    </w:p>
    <w:p>
      <w:pPr>
        <w:pStyle w:val="Heading1"/>
        <w:spacing w:after="160" w:before="320"/>
      </w:pPr>
      <w:r>
        <w:t xml:space="preserve">11. Beneficios esperados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060"/>
      </w:tblGrid>
      <w:tr>
        <w:trPr>
          <w:tblHeader/>
        </w:trPr>
        <w:tc>
          <w:tcPr>
            <w:tcW w:type="dxa" w:w="2500"/>
            <w:shd w:fill="1F3864" w:val="clear"/>
            <w:tcMar>
              <w:top w:type="dxa" w:w="80"/>
              <w:left w:type="dxa" w:w="100"/>
              <w:bottom w:type="dxa" w:w="80"/>
              <w:right w:type="dxa" w:w="100"/>
            </w:tcMar>
            <w:vAlign w:val="center"/>
          </w:tcPr>
          <w:p>
            <w:pPr>
              <w:jc w:val="center"/>
            </w:pPr>
            <w:r>
              <w:rPr>
                <w:b/>
                <w:bCs/>
                <w:color w:val="FFFFFF"/>
                <w:sz w:val="17"/>
                <w:szCs w:val="17"/>
              </w:rPr>
              <w:t xml:space="preserve">Beneficio</w:t>
            </w:r>
          </w:p>
        </w:tc>
        <w:tc>
          <w:tcPr>
            <w:tcW w:type="dxa" w:w="3200"/>
            <w:shd w:fill="1F3864" w:val="clear"/>
            <w:tcMar>
              <w:top w:type="dxa" w:w="80"/>
              <w:left w:type="dxa" w:w="100"/>
              <w:bottom w:type="dxa" w:w="80"/>
              <w:right w:type="dxa" w:w="100"/>
            </w:tcMar>
            <w:vAlign w:val="center"/>
          </w:tcPr>
          <w:p>
            <w:pPr>
              <w:jc w:val="center"/>
            </w:pPr>
            <w:r>
              <w:rPr>
                <w:b/>
                <w:bCs/>
                <w:color w:val="FFFFFF"/>
                <w:sz w:val="17"/>
                <w:szCs w:val="17"/>
              </w:rPr>
              <w:t xml:space="preserve">Indicador</w:t>
            </w:r>
          </w:p>
        </w:tc>
        <w:tc>
          <w:tcPr>
            <w:tcW w:type="dxa" w:w="3060"/>
            <w:shd w:fill="1F3864" w:val="clear"/>
            <w:tcMar>
              <w:top w:type="dxa" w:w="80"/>
              <w:left w:type="dxa" w:w="100"/>
              <w:bottom w:type="dxa" w:w="80"/>
              <w:right w:type="dxa" w:w="100"/>
            </w:tcMar>
            <w:vAlign w:val="center"/>
          </w:tcPr>
          <w:p>
            <w:pPr>
              <w:jc w:val="center"/>
            </w:pPr>
            <w:r>
              <w:rPr>
                <w:b/>
                <w:bCs/>
                <w:color w:val="FFFFFF"/>
                <w:sz w:val="17"/>
                <w:szCs w:val="17"/>
              </w:rPr>
              <w:t xml:space="preserve">Situación actual → meta</w:t>
            </w:r>
          </w:p>
        </w:tc>
      </w:tr>
      <w:tr>
        <w:tc>
          <w:tcPr>
            <w:tcW w:type="dxa" w:w="2500"/>
            <w:tcMar>
              <w:top w:type="dxa" w:w="80"/>
              <w:left w:type="dxa" w:w="100"/>
              <w:bottom w:type="dxa" w:w="80"/>
              <w:right w:type="dxa" w:w="100"/>
            </w:tcMar>
            <w:vAlign w:val="center"/>
          </w:tcPr>
          <w:p>
            <w:pPr>
              <w:jc w:val="left"/>
            </w:pPr>
            <w:r>
              <w:rPr>
                <w:b w:val="false"/>
                <w:bCs w:val="false"/>
                <w:color w:val="000000"/>
                <w:sz w:val="17"/>
                <w:szCs w:val="17"/>
              </w:rPr>
              <w:t xml:space="preserve">Mayor participación por confianza en que la respuesta no es rastreable hasta la persona</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Tasa de respuesta por campaña</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45 % → 75 %</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Reducción de la latencia de la información</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Tiempo entre cierre de campaña y disponibilidad de resultados</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6 a 8 semanas → menos de 24 horas</w:t>
            </w:r>
          </w:p>
        </w:tc>
      </w:tr>
      <w:tr>
        <w:tc>
          <w:tcPr>
            <w:tcW w:type="dxa" w:w="2500"/>
            <w:tcMar>
              <w:top w:type="dxa" w:w="80"/>
              <w:left w:type="dxa" w:w="100"/>
              <w:bottom w:type="dxa" w:w="80"/>
              <w:right w:type="dxa" w:w="100"/>
            </w:tcMar>
            <w:vAlign w:val="center"/>
          </w:tcPr>
          <w:p>
            <w:pPr>
              <w:jc w:val="left"/>
            </w:pPr>
            <w:r>
              <w:rPr>
                <w:b w:val="false"/>
                <w:bCs w:val="false"/>
                <w:color w:val="000000"/>
                <w:sz w:val="17"/>
                <w:szCs w:val="17"/>
              </w:rPr>
              <w:t xml:space="preserve">Detección temprana en lugar de reactiva</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Proporción de intervenciones iniciadas antes de que exista ausentismo o renuncia</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Cercana a 0 % → 60 %</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Medición del efecto de las intervenciones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Intervenciones con medición posterior documentada</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0 % → 100 %</w:t>
            </w:r>
          </w:p>
        </w:tc>
      </w:tr>
      <w:tr>
        <w:tc>
          <w:tcPr>
            <w:tcW w:type="dxa" w:w="2500"/>
            <w:tcMar>
              <w:top w:type="dxa" w:w="80"/>
              <w:left w:type="dxa" w:w="100"/>
              <w:bottom w:type="dxa" w:w="80"/>
              <w:right w:type="dxa" w:w="100"/>
            </w:tcMar>
            <w:vAlign w:val="center"/>
          </w:tcPr>
          <w:p>
            <w:pPr>
              <w:jc w:val="left"/>
            </w:pPr>
            <w:r>
              <w:rPr>
                <w:b w:val="false"/>
                <w:bCs w:val="false"/>
                <w:color w:val="000000"/>
                <w:sz w:val="17"/>
                <w:szCs w:val="17"/>
              </w:rPr>
              <w:t xml:space="preserve">Reducción de la rotación en áreas intervenidas</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Rotación anual del área</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38 % → 30 %</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Evidencia de cumplimiento siempre disponible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Tiempo de preparación de evidencia para auditoría</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Semanas → generación bajo demanda</w:t>
            </w:r>
          </w:p>
        </w:tc>
      </w:tr>
      <w:tr>
        <w:tc>
          <w:tcPr>
            <w:tcW w:type="dxa" w:w="2500"/>
            <w:tcMar>
              <w:top w:type="dxa" w:w="80"/>
              <w:left w:type="dxa" w:w="100"/>
              <w:bottom w:type="dxa" w:w="80"/>
              <w:right w:type="dxa" w:w="100"/>
            </w:tcMar>
            <w:vAlign w:val="center"/>
          </w:tcPr>
          <w:p>
            <w:pPr>
              <w:jc w:val="left"/>
            </w:pPr>
            <w:r>
              <w:rPr>
                <w:b w:val="false"/>
                <w:bCs w:val="false"/>
                <w:color w:val="000000"/>
                <w:sz w:val="17"/>
                <w:szCs w:val="17"/>
              </w:rPr>
              <w:t xml:space="preserve">Trazabilidad del consentimiento</w:t>
            </w:r>
          </w:p>
        </w:tc>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Consentimientos con evidencia verificable</w:t>
            </w:r>
          </w:p>
        </w:tc>
        <w:tc>
          <w:tcPr>
            <w:tcW w:type="dxa" w:w="3060"/>
            <w:tcMar>
              <w:top w:type="dxa" w:w="80"/>
              <w:left w:type="dxa" w:w="100"/>
              <w:bottom w:type="dxa" w:w="80"/>
              <w:right w:type="dxa" w:w="100"/>
            </w:tcMar>
            <w:vAlign w:val="center"/>
          </w:tcPr>
          <w:p>
            <w:pPr>
              <w:jc w:val="left"/>
            </w:pPr>
            <w:r>
              <w:rPr>
                <w:b w:val="false"/>
                <w:bCs w:val="false"/>
                <w:color w:val="000000"/>
                <w:sz w:val="17"/>
                <w:szCs w:val="17"/>
              </w:rPr>
              <w:t xml:space="preserve">Sin registro → 100 %</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Aprovechamiento de indicadores objetivos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Personas con dispositivo vinculado voluntariamente</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0 → 20 % de quienes ya poseen dispositivo</w:t>
            </w:r>
          </w:p>
        </w:tc>
      </w:tr>
    </w:tbl>
    <w:p>
      <w:pPr>
        <w:spacing w:after="160"/>
        <w:jc w:val="both"/>
      </w:pPr>
      <w:r>
        <w:t xml:space="preserve"/>
      </w:r>
    </w:p>
    <w:p>
      <w:pPr>
        <w:spacing w:after="160"/>
        <w:jc w:val="both"/>
      </w:pPr>
      <w:r>
        <w:rPr>
          <w:i/>
          <w:iCs/>
          <w:color w:val="808080"/>
          <w:sz w:val="18"/>
          <w:szCs w:val="18"/>
        </w:rPr>
        <w:t xml:space="preserve">Los valores de la columna de meta son supuestos de trabajo del equipo y se utilizarán como criterio de éxito del proyecto; no provienen de mediciones reales de una organización existente.</w:t>
      </w:r>
    </w:p>
    <w:p>
      <w:pPr>
        <w:pStyle w:val="Heading1"/>
        <w:spacing w:after="160" w:before="320"/>
      </w:pPr>
      <w:r>
        <w:t xml:space="preserve">12. Delimitación del alcance del primer parcial</w:t>
      </w:r>
    </w:p>
    <w:p>
      <w:pPr>
        <w:spacing w:after="160"/>
        <w:jc w:val="both"/>
      </w:pPr>
      <w:r>
        <w:t xml:space="preserve">El proyecto completo abarca cuatro componentes distribuidos y doce microservicios. Intentar abordarlos simultáneamente en el primer parcial produciría un sistema incompleto en todos sus frentes. El equipo delimita por lo tanto un recorrido funcional completo y estrecho, que atraviesa de extremo a extremo el proceso más importante del negocio, y difiere el resto a los parciales siguientes.</w:t>
      </w:r>
    </w:p>
    <w:p>
      <w:pPr>
        <w:pStyle w:val="Heading2"/>
        <w:spacing w:after="120" w:before="240"/>
      </w:pPr>
      <w:r>
        <w:t xml:space="preserve">12.1 Proceso principal de negocio seleccionado</w:t>
      </w:r>
    </w:p>
    <w:p>
      <w:pPr>
        <w:spacing w:after="160"/>
        <w:jc w:val="both"/>
      </w:pPr>
      <w:r>
        <w:rPr>
          <w:b/>
          <w:bCs/>
          <w:i w:val="false"/>
          <w:iCs w:val="false"/>
        </w:rPr>
        <w:t xml:space="preserve">Levantamiento de una encuesta de bienestar con consentimiento previo y agregación protegida.</w:t>
      </w:r>
    </w:p>
    <w:p>
      <w:pPr>
        <w:spacing w:after="160"/>
        <w:jc w:val="both"/>
      </w:pPr>
      <w:r>
        <w:t xml:space="preserve">El recorrido completo es el siguiente:</w:t>
      </w:r>
    </w:p>
    <w:p>
      <w:pPr>
        <w:pStyle w:val="ListParagraph"/>
        <w:numPr>
          <w:ilvl w:val="0"/>
          <w:numId w:val="1"/>
        </w:numPr>
        <w:spacing w:after="80"/>
      </w:pPr>
      <w:r>
        <w:t xml:space="preserve">La Especialista de Bienestar Laboral (RRHH) crea una campaña sobre un instrumento del catálogo y la dirige a una o varias áreas.</w:t>
      </w:r>
    </w:p>
    <w:p>
      <w:pPr>
        <w:pStyle w:val="ListParagraph"/>
        <w:numPr>
          <w:ilvl w:val="0"/>
          <w:numId w:val="1"/>
        </w:numPr>
        <w:spacing w:after="80"/>
      </w:pPr>
      <w:r>
        <w:t xml:space="preserve">El Colaborador ingresa, consulta el aviso de privacidad y otorga su consentimiento por finalidad.</w:t>
      </w:r>
    </w:p>
    <w:p>
      <w:pPr>
        <w:pStyle w:val="ListParagraph"/>
        <w:numPr>
          <w:ilvl w:val="0"/>
          <w:numId w:val="1"/>
        </w:numPr>
        <w:spacing w:after="80"/>
      </w:pPr>
      <w:r>
        <w:t xml:space="preserve">El sistema genera el seudónimo de la persona para esa campaña.</w:t>
      </w:r>
    </w:p>
    <w:p>
      <w:pPr>
        <w:pStyle w:val="ListParagraph"/>
        <w:numPr>
          <w:ilvl w:val="0"/>
          <w:numId w:val="1"/>
        </w:numPr>
        <w:spacing w:after="80"/>
      </w:pPr>
      <w:r>
        <w:t xml:space="preserve">El Colaborador responde el instrumento; sus respuestas se almacenan asociadas al seudónimo, no a su identidad.</w:t>
      </w:r>
    </w:p>
    <w:p>
      <w:pPr>
        <w:pStyle w:val="ListParagraph"/>
        <w:numPr>
          <w:ilvl w:val="0"/>
          <w:numId w:val="1"/>
        </w:numPr>
        <w:spacing w:after="80"/>
      </w:pPr>
      <w:r>
        <w:t xml:space="preserve">El sistema calcula el puntaje por dimensión y lo registra.</w:t>
      </w:r>
    </w:p>
    <w:p>
      <w:pPr>
        <w:pStyle w:val="ListParagraph"/>
        <w:numPr>
          <w:ilvl w:val="0"/>
          <w:numId w:val="1"/>
        </w:numPr>
        <w:spacing w:after="80"/>
      </w:pPr>
      <w:r>
        <w:t xml:space="preserve">El Colaborador consulta su propio resultado.</w:t>
      </w:r>
    </w:p>
    <w:p>
      <w:pPr>
        <w:pStyle w:val="ListParagraph"/>
        <w:numPr>
          <w:ilvl w:val="0"/>
          <w:numId w:val="1"/>
        </w:numPr>
        <w:spacing w:after="80"/>
      </w:pPr>
      <w:r>
        <w:t xml:space="preserve">El Líder de unidad consulta el resultado agregado. El sistema verifica el umbral mínimo de grupo, aplica el mecanismo de Laplace y descuenta el presupuesto de épsilon de esa unidad y campaña. Si el grupo es insuficiente se despliega un mensaje de supresión por privacidad; si el presupuesto está agotado, un mensaje distinto que lo indica, porque son dos causas diferentes y confundirlas llevaría a interpretar mal la participación.</w:t>
      </w:r>
    </w:p>
    <w:p>
      <w:pPr>
        <w:pStyle w:val="ListParagraph"/>
        <w:numPr>
          <w:ilvl w:val="0"/>
          <w:numId w:val="1"/>
        </w:numPr>
        <w:spacing w:after="80"/>
      </w:pPr>
      <w:r>
        <w:t xml:space="preserve">Cada consulta queda registrada en la bitácora de auditoría.</w:t>
      </w:r>
    </w:p>
    <w:p>
      <w:pPr>
        <w:spacing w:after="160"/>
        <w:jc w:val="both"/>
      </w:pPr>
      <w:r>
        <w:t xml:space="preserve">Este proceso se elige porque ejercita simultáneamente el consentimiento, la seudonimización, el umbral de agregación, la diferenciación de perfiles y la auditoría, es decir, exactamente los elementos que distinguen a este proyecto de un sistema administrativo convencional.</w:t>
      </w:r>
    </w:p>
    <w:p>
      <w:pPr>
        <w:pStyle w:val="Heading2"/>
        <w:spacing w:after="120" w:before="240"/>
      </w:pPr>
      <w:r>
        <w:t xml:space="preserve">12.2 Catálogos funcionales del primer parcial</w:t>
      </w:r>
    </w:p>
    <w:p>
      <w:pPr>
        <w:pStyle w:val="ListParagraph"/>
        <w:numPr>
          <w:ilvl w:val="0"/>
          <w:numId w:val="1"/>
        </w:numPr>
        <w:spacing w:after="80"/>
      </w:pPr>
      <w:r>
        <w:t xml:space="preserve">Catálogo de unidades organizacionales: áreas, departamentos, turnos y su jerarquía, con el tamaño de plantilla que alimenta la verificación del umbral.</w:t>
      </w:r>
    </w:p>
    <w:p>
      <w:pPr>
        <w:pStyle w:val="ListParagraph"/>
        <w:numPr>
          <w:ilvl w:val="0"/>
          <w:numId w:val="1"/>
        </w:numPr>
        <w:spacing w:after="80"/>
      </w:pPr>
      <w:r>
        <w:t xml:space="preserve">Catálogo de instrumentos y reactivos: instrumentos, versiones, dimensiones, reactivos, escalas de respuesta y reglas de calificación.</w:t>
      </w:r>
    </w:p>
    <w:p>
      <w:pPr>
        <w:pStyle w:val="Heading2"/>
        <w:spacing w:after="120" w:before="240"/>
      </w:pPr>
      <w:r>
        <w:t xml:space="preserve">12.3 Dentro y fuera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vAlign w:val="center"/>
          </w:tcPr>
          <w:p>
            <w:pPr>
              <w:jc w:val="center"/>
            </w:pPr>
            <w:r>
              <w:rPr>
                <w:b/>
                <w:bCs/>
                <w:color w:val="FFFFFF"/>
                <w:sz w:val="17"/>
                <w:szCs w:val="17"/>
              </w:rPr>
              <w:t xml:space="preserve">Dentro del alcance del primer parcial</w:t>
            </w:r>
          </w:p>
        </w:tc>
        <w:tc>
          <w:tcPr>
            <w:tcW w:type="dxa" w:w="4680"/>
            <w:shd w:fill="1F3864" w:val="clear"/>
            <w:tcMar>
              <w:top w:type="dxa" w:w="80"/>
              <w:left w:type="dxa" w:w="100"/>
              <w:bottom w:type="dxa" w:w="80"/>
              <w:right w:type="dxa" w:w="100"/>
            </w:tcMar>
            <w:vAlign w:val="center"/>
          </w:tcPr>
          <w:p>
            <w:pPr>
              <w:jc w:val="center"/>
            </w:pPr>
            <w:r>
              <w:rPr>
                <w:b/>
                <w:bCs/>
                <w:color w:val="FFFFFF"/>
                <w:sz w:val="17"/>
                <w:szCs w:val="17"/>
              </w:rPr>
              <w:t xml:space="preserve">Fuera del alcance del primer parcial</w:t>
            </w:r>
          </w:p>
        </w:tc>
      </w:tr>
      <w:tr>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Sitio público y portal privado del sistema web</w:t>
            </w:r>
          </w:p>
        </w:tc>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Módulo de microservicios</w:t>
            </w:r>
          </w:p>
        </w:tc>
      </w:tr>
      <w:tr>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Inicio y cierre de sesión con JWT básico</w:t>
            </w:r>
          </w:p>
        </w:tc>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Aplicación móvil Android</w:t>
            </w:r>
          </w:p>
        </w:tc>
      </w:tr>
      <w:tr>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Roles iniciales y menú diferenciado por perfil</w:t>
            </w:r>
          </w:p>
        </w:tc>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Aplicación de escritorio</w:t>
            </w:r>
          </w:p>
        </w:tc>
      </w:tr>
      <w:tr>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Los dos catálogos descritos, completamente funcionales</w:t>
            </w:r>
          </w:p>
        </w:tc>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Ingesta de dispositivos vestibles, variabilidad cardiaca y sueño</w:t>
            </w:r>
          </w:p>
        </w:tc>
      </w:tr>
      <w:tr>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Proceso principal de encuesta con consentimiento</w:t>
            </w:r>
          </w:p>
        </w:tc>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Agrupamiento automático de perfiles de riesgo (aprendizaje no supervisado)</w:t>
            </w:r>
          </w:p>
        </w:tc>
      </w:tr>
      <w:tr>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Umbral mínimo de grupo y privacidad diferencial (mecanismo de Laplace)</w:t>
            </w:r>
          </w:p>
        </w:tc>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Privacidad diferencial sobre cruces de varias dimensiones a la vez</w:t>
            </w:r>
          </w:p>
        </w:tc>
      </w:tr>
      <w:tr>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Conexión y persistencia real en PostgreSQL</w:t>
            </w:r>
          </w:p>
        </w:tc>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Despliegue en Google Cloud Platform</w:t>
            </w:r>
          </w:p>
        </w:tc>
      </w:tr>
      <w:tr>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Registro básico de auditoría</w:t>
            </w:r>
          </w:p>
        </w:tc>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Almacenamiento en buckets</w:t>
            </w:r>
          </w:p>
        </w:tc>
      </w:tr>
      <w:tr>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Carga inicial de datos de prueba</w:t>
            </w:r>
          </w:p>
        </w:tc>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Pruebas de carga con Locust</w:t>
            </w:r>
          </w:p>
        </w:tc>
      </w:tr>
      <w:tr>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Interfaz responsive</w:t>
            </w:r>
          </w:p>
        </w:tc>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Recomendaciones automáticas y campañas de intervención</w:t>
            </w:r>
          </w:p>
        </w:tc>
      </w:tr>
      <w:tr>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Contenedores locales de PostgreSQL, MongoDB y Redis</w:t>
            </w:r>
          </w:p>
        </w:tc>
        <w:tc>
          <w:tcPr>
            <w:tcW w:type="dxa" w:w="4680"/>
            <w:tcMar>
              <w:top w:type="dxa" w:w="80"/>
              <w:left w:type="dxa" w:w="100"/>
              <w:bottom w:type="dxa" w:w="80"/>
              <w:right w:type="dxa" w:w="100"/>
            </w:tcMar>
            <w:vAlign w:val="center"/>
          </w:tcPr>
          <w:p>
            <w:pPr>
              <w:jc w:val="left"/>
            </w:pPr>
            <w:r>
              <w:rPr>
                <w:b w:val="false"/>
                <w:bCs w:val="false"/>
                <w:color w:val="000000"/>
                <w:sz w:val="17"/>
                <w:szCs w:val="17"/>
              </w:rPr>
              <w:t xml:space="preserve">Servicio de monitoreo y endpoints de salud</w:t>
            </w:r>
          </w:p>
        </w:tc>
      </w:tr>
      <w:tr>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Diseño documentado de MongoDB y Redis (sin implementar todo)</w:t>
            </w:r>
          </w:p>
        </w:tc>
        <w:tc>
          <w:tcPr>
            <w:tcW w:type="dxa" w:w="4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Reportes organizacionales avanzados y gráficas completas</w:t>
            </w:r>
          </w:p>
        </w:tc>
      </w:tr>
    </w:tbl>
    <w:p>
      <w:pPr>
        <w:spacing w:after="160"/>
        <w:jc w:val="both"/>
      </w:pPr>
      <w:r>
        <w:t xml:space="preserve"/>
      </w:r>
    </w:p>
    <w:p>
      <w:pPr>
        <w:spacing w:after="160"/>
        <w:jc w:val="both"/>
      </w:pPr>
      <w:r>
        <w:t xml:space="preserve">El diseño de MongoDB y de Redis sí forma parte del entregable documental del primer parcial, aunque su implementación se realice en el segundo. Los contenedores de ambos motores se levantan desde esta etapa para que la infraestructura no sea un obstáculo posterior.</w:t>
      </w:r>
    </w:p>
    <w:p>
      <w:pPr>
        <w:pStyle w:val="Heading1"/>
        <w:spacing w:after="160" w:before="320"/>
      </w:pPr>
      <w:r>
        <w:t xml:space="preserve">13. Decisiones tempranas de diseño</w:t>
      </w:r>
    </w:p>
    <w:p>
      <w:pPr>
        <w:spacing w:after="160"/>
        <w:jc w:val="both"/>
      </w:pPr>
      <w:r>
        <w:t xml:space="preserve">Estas decisiones se registran aquí porque condicionan el modelo de datos, la matriz de permisos y la arquitectura. Cada una se identifica para poder referenciarla desde los demás documentos.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6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sz w:val="17"/>
                <w:szCs w:val="17"/>
              </w:rPr>
              <w:t xml:space="preserve">ID</w:t>
            </w:r>
          </w:p>
        </w:tc>
        <w:tc>
          <w:tcPr>
            <w:tcW w:type="dxa" w:w="3400"/>
            <w:shd w:fill="1F3864" w:val="clear"/>
            <w:tcMar>
              <w:top w:type="dxa" w:w="80"/>
              <w:left w:type="dxa" w:w="100"/>
              <w:bottom w:type="dxa" w:w="80"/>
              <w:right w:type="dxa" w:w="100"/>
            </w:tcMar>
            <w:vAlign w:val="center"/>
          </w:tcPr>
          <w:p>
            <w:pPr>
              <w:jc w:val="center"/>
            </w:pPr>
            <w:r>
              <w:rPr>
                <w:b/>
                <w:bCs/>
                <w:color w:val="FFFFFF"/>
                <w:sz w:val="17"/>
                <w:szCs w:val="17"/>
              </w:rPr>
              <w:t xml:space="preserve">Decisión</w:t>
            </w:r>
          </w:p>
        </w:tc>
        <w:tc>
          <w:tcPr>
            <w:tcW w:type="dxa" w:w="4960"/>
            <w:shd w:fill="1F3864" w:val="clear"/>
            <w:tcMar>
              <w:top w:type="dxa" w:w="80"/>
              <w:left w:type="dxa" w:w="100"/>
              <w:bottom w:type="dxa" w:w="80"/>
              <w:right w:type="dxa" w:w="100"/>
            </w:tcMar>
            <w:vAlign w:val="center"/>
          </w:tcPr>
          <w:p>
            <w:pPr>
              <w:jc w:val="center"/>
            </w:pPr>
            <w:r>
              <w:rPr>
                <w:b/>
                <w:bCs/>
                <w:color w:val="FFFFFF"/>
                <w:sz w:val="17"/>
                <w:szCs w:val="17"/>
              </w:rPr>
              <w:t xml:space="preserve">Justificación</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D-01</w:t>
            </w:r>
          </w:p>
        </w:tc>
        <w:tc>
          <w:tcPr>
            <w:tcW w:type="dxa" w:w="3400"/>
            <w:tcMar>
              <w:top w:type="dxa" w:w="80"/>
              <w:left w:type="dxa" w:w="100"/>
              <w:bottom w:type="dxa" w:w="80"/>
              <w:right w:type="dxa" w:w="100"/>
            </w:tcMar>
            <w:vAlign w:val="center"/>
          </w:tcPr>
          <w:p>
            <w:pPr>
              <w:jc w:val="left"/>
            </w:pPr>
            <w:r>
              <w:rPr>
                <w:b w:val="false"/>
                <w:bCs w:val="false"/>
                <w:color w:val="000000"/>
                <w:sz w:val="17"/>
                <w:szCs w:val="17"/>
              </w:rPr>
              <w:t xml:space="preserve">La identidad de la persona y sus respuestas se almacenan en estructuras separadas, unidas por un seudónimo</w:t>
            </w:r>
          </w:p>
        </w:tc>
        <w:tc>
          <w:tcPr>
            <w:tcW w:type="dxa" w:w="4960"/>
            <w:tcMar>
              <w:top w:type="dxa" w:w="80"/>
              <w:left w:type="dxa" w:w="100"/>
              <w:bottom w:type="dxa" w:w="80"/>
              <w:right w:type="dxa" w:w="100"/>
            </w:tcMar>
            <w:vAlign w:val="center"/>
          </w:tcPr>
          <w:p>
            <w:pPr>
              <w:jc w:val="left"/>
            </w:pPr>
            <w:r>
              <w:rPr>
                <w:b w:val="false"/>
                <w:bCs w:val="false"/>
                <w:color w:val="000000"/>
                <w:sz w:val="17"/>
                <w:szCs w:val="17"/>
              </w:rPr>
              <w:t xml:space="preserve">El sistema aplica seudonimización, no anonimización: el vínculo entre persona y respuesta existe, pero vive separado y bajo control. Llamarlo anonimización sería impreciso y llevaría a relajar los controles. Si el identificador de empleado viajara junto a la respuesta, incluso esa seudonimización dejaría de existir en la práctica, sin importar lo que muestre la interfaz</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D-02</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consentimiento es una entidad con historial, versionada por finalidad y por versión del aviso de privacidad</w:t>
            </w:r>
          </w:p>
        </w:tc>
        <w:tc>
          <w:tcPr>
            <w:tcW w:type="dxa" w:w="49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ley exige consentimiento específico y revocable; un campo booleano no permite acreditar qué se consintió ni cuándo</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D-03</w:t>
            </w:r>
          </w:p>
        </w:tc>
        <w:tc>
          <w:tcPr>
            <w:tcW w:type="dxa" w:w="3400"/>
            <w:tcMar>
              <w:top w:type="dxa" w:w="80"/>
              <w:left w:type="dxa" w:w="100"/>
              <w:bottom w:type="dxa" w:w="80"/>
              <w:right w:type="dxa" w:w="100"/>
            </w:tcMar>
            <w:vAlign w:val="center"/>
          </w:tcPr>
          <w:p>
            <w:pPr>
              <w:jc w:val="left"/>
            </w:pPr>
            <w:r>
              <w:rPr>
                <w:b w:val="false"/>
                <w:bCs w:val="false"/>
                <w:color w:val="000000"/>
                <w:sz w:val="17"/>
                <w:szCs w:val="17"/>
              </w:rPr>
              <w:t xml:space="preserve">El umbral mínimo de grupo se fija en cinco respuestas y es parametrizable; opera como primer filtro, no como la protección completa</w:t>
            </w:r>
          </w:p>
        </w:tc>
        <w:tc>
          <w:tcPr>
            <w:tcW w:type="dxa" w:w="4960"/>
            <w:tcMar>
              <w:top w:type="dxa" w:w="80"/>
              <w:left w:type="dxa" w:w="100"/>
              <w:bottom w:type="dxa" w:w="80"/>
              <w:right w:type="dxa" w:w="100"/>
            </w:tcMar>
            <w:vAlign w:val="center"/>
          </w:tcPr>
          <w:p>
            <w:pPr>
              <w:jc w:val="left"/>
            </w:pPr>
            <w:r>
              <w:rPr>
                <w:b w:val="false"/>
                <w:bCs w:val="false"/>
                <w:color w:val="000000"/>
                <w:sz w:val="17"/>
                <w:szCs w:val="17"/>
              </w:rPr>
              <w:t xml:space="preserve">Suprime los grupos donde la sola publicación identificaría a una persona. La protección del valor publicado la aporta el mecanismo de privacidad diferencial descrito en D-07</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D-04</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Ningún perfil con autoridad laboral accede al dato individual, y la restricción se implementa en el modelo y en la autorización</w:t>
            </w:r>
          </w:p>
        </w:tc>
        <w:tc>
          <w:tcPr>
            <w:tcW w:type="dxa" w:w="49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Es el criterio que distingue una herramienta de prevención de un mecanismo de vigilancia</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D-05</w:t>
            </w:r>
          </w:p>
        </w:tc>
        <w:tc>
          <w:tcPr>
            <w:tcW w:type="dxa" w:w="3400"/>
            <w:tcMar>
              <w:top w:type="dxa" w:w="80"/>
              <w:left w:type="dxa" w:w="100"/>
              <w:bottom w:type="dxa" w:w="80"/>
              <w:right w:type="dxa" w:w="100"/>
            </w:tcMar>
            <w:vAlign w:val="center"/>
          </w:tcPr>
          <w:p>
            <w:pPr>
              <w:jc w:val="left"/>
            </w:pPr>
            <w:r>
              <w:rPr>
                <w:b w:val="false"/>
                <w:bCs w:val="false"/>
                <w:color w:val="000000"/>
                <w:sz w:val="17"/>
                <w:szCs w:val="17"/>
              </w:rPr>
              <w:t xml:space="preserve">Toda consulta a información personal o agregada se registra en bitácora, incluidas las consultas fallidas</w:t>
            </w:r>
          </w:p>
        </w:tc>
        <w:tc>
          <w:tcPr>
            <w:tcW w:type="dxa" w:w="4960"/>
            <w:tcMar>
              <w:top w:type="dxa" w:w="80"/>
              <w:left w:type="dxa" w:w="100"/>
              <w:bottom w:type="dxa" w:w="80"/>
              <w:right w:type="dxa" w:w="100"/>
            </w:tcMar>
            <w:vAlign w:val="center"/>
          </w:tcPr>
          <w:p>
            <w:pPr>
              <w:jc w:val="left"/>
            </w:pPr>
            <w:r>
              <w:rPr>
                <w:b w:val="false"/>
                <w:bCs w:val="false"/>
                <w:color w:val="000000"/>
                <w:sz w:val="17"/>
                <w:szCs w:val="17"/>
              </w:rPr>
              <w:t xml:space="preserve">Sin bitácora no hay forma de detectar un uso indebido ni de acreditar el cumplimiento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D-06</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eliminación es lógica de forma predeterminada; la eliminación física se reserva al ejercicio del derecho de cancelación</w:t>
            </w:r>
          </w:p>
        </w:tc>
        <w:tc>
          <w:tcPr>
            <w:tcW w:type="dxa" w:w="49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Permite conservar trazabilidad sin impedir el ejercicio de los derechos del titular</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D-07</w:t>
            </w:r>
          </w:p>
        </w:tc>
        <w:tc>
          <w:tcPr>
            <w:tcW w:type="dxa" w:w="3400"/>
            <w:tcMar>
              <w:top w:type="dxa" w:w="80"/>
              <w:left w:type="dxa" w:w="100"/>
              <w:bottom w:type="dxa" w:w="80"/>
              <w:right w:type="dxa" w:w="100"/>
            </w:tcMar>
            <w:vAlign w:val="center"/>
          </w:tcPr>
          <w:p>
            <w:pPr>
              <w:jc w:val="left"/>
            </w:pPr>
            <w:r>
              <w:rPr>
                <w:b w:val="false"/>
                <w:bCs w:val="false"/>
                <w:color w:val="000000"/>
                <w:sz w:val="17"/>
                <w:szCs w:val="17"/>
              </w:rPr>
              <w:t xml:space="preserve">La protección de los agregados combina dos mecanismos distintos y complementarios: supresión por umbral mínimo de grupo (k = 5) y privacidad diferencial mediante el mecanismo de Laplace, con presupuesto de épsilon por campaña y unidad</w:t>
            </w:r>
          </w:p>
        </w:tc>
        <w:tc>
          <w:tcPr>
            <w:tcW w:type="dxa" w:w="4960"/>
            <w:tcMar>
              <w:top w:type="dxa" w:w="80"/>
              <w:left w:type="dxa" w:w="100"/>
              <w:bottom w:type="dxa" w:w="80"/>
              <w:right w:type="dxa" w:w="100"/>
            </w:tcMar>
            <w:vAlign w:val="center"/>
          </w:tcPr>
          <w:p>
            <w:pPr>
              <w:jc w:val="left"/>
            </w:pPr>
            <w:r>
              <w:rPr>
                <w:b w:val="false"/>
                <w:bCs w:val="false"/>
                <w:color w:val="000000"/>
                <w:sz w:val="17"/>
                <w:szCs w:val="17"/>
              </w:rPr>
              <w:t xml:space="preserve">Un umbral k no es privacidad diferencial: el umbral evita publicar grupos pequeños, pero no impide reconstruir una respuesta individual comparando consultas sucesivas. El mecanismo de Laplace sí acota formalmente esa fuga, y el presupuesto de épsilon impide agotarla mediante consultas repetidas</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D-08</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persona puede consultar el registro de accesos a su propia información</w:t>
            </w:r>
          </w:p>
        </w:tc>
        <w:tc>
          <w:tcPr>
            <w:tcW w:type="dxa" w:w="496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Convierte la transparencia en una función verificable y no en una promesa del aviso de privacidad</w:t>
            </w:r>
          </w:p>
        </w:tc>
      </w:tr>
      <w:tr>
        <w:tc>
          <w:tcPr>
            <w:tcW w:type="dxa" w:w="700"/>
            <w:tcMar>
              <w:top w:type="dxa" w:w="80"/>
              <w:left w:type="dxa" w:w="100"/>
              <w:bottom w:type="dxa" w:w="80"/>
              <w:right w:type="dxa" w:w="100"/>
            </w:tcMar>
            <w:vAlign w:val="center"/>
          </w:tcPr>
          <w:p>
            <w:pPr>
              <w:jc w:val="left"/>
            </w:pPr>
            <w:r>
              <w:rPr>
                <w:b w:val="false"/>
                <w:bCs w:val="false"/>
                <w:color w:val="000000"/>
                <w:sz w:val="17"/>
                <w:szCs w:val="17"/>
              </w:rPr>
              <w:t xml:space="preserve">D-09</w:t>
            </w:r>
          </w:p>
        </w:tc>
        <w:tc>
          <w:tcPr>
            <w:tcW w:type="dxa" w:w="3400"/>
            <w:tcMar>
              <w:top w:type="dxa" w:w="80"/>
              <w:left w:type="dxa" w:w="100"/>
              <w:bottom w:type="dxa" w:w="80"/>
              <w:right w:type="dxa" w:w="100"/>
            </w:tcMar>
            <w:vAlign w:val="center"/>
          </w:tcPr>
          <w:p>
            <w:pPr>
              <w:jc w:val="left"/>
            </w:pPr>
            <w:r>
              <w:rPr>
                <w:b w:val="false"/>
                <w:bCs w:val="false"/>
                <w:color w:val="000000"/>
                <w:sz w:val="17"/>
                <w:szCs w:val="17"/>
              </w:rPr>
              <w:t xml:space="preserve">El sistema web debe operar de manera autónoma frente a los microservicios</w:t>
            </w:r>
          </w:p>
        </w:tc>
        <w:tc>
          <w:tcPr>
            <w:tcW w:type="dxa" w:w="4960"/>
            <w:tcMar>
              <w:top w:type="dxa" w:w="80"/>
              <w:left w:type="dxa" w:w="100"/>
              <w:bottom w:type="dxa" w:w="80"/>
              <w:right w:type="dxa" w:w="100"/>
            </w:tcMar>
            <w:vAlign w:val="center"/>
          </w:tcPr>
          <w:p>
            <w:pPr>
              <w:jc w:val="left"/>
            </w:pPr>
            <w:r>
              <w:rPr>
                <w:b w:val="false"/>
                <w:bCs w:val="false"/>
                <w:color w:val="000000"/>
                <w:sz w:val="17"/>
                <w:szCs w:val="17"/>
              </w:rPr>
              <w:t xml:space="preserve">Es un requisito explícito de la arquitectura obligatoria y condiciona el diseño desde el primer parcial</w:t>
            </w:r>
          </w:p>
        </w:tc>
      </w:tr>
    </w:tbl>
    <w:p>
      <w:pPr>
        <w:pStyle w:val="Heading1"/>
        <w:spacing w:after="160" w:before="320"/>
      </w:pPr>
      <w:r>
        <w:t xml:space="preserve">14. Supuestos</w:t>
      </w:r>
    </w:p>
    <w:p>
      <w:pPr>
        <w:pStyle w:val="ListParagraph"/>
        <w:numPr>
          <w:ilvl w:val="0"/>
          <w:numId w:val="1"/>
        </w:numPr>
        <w:spacing w:after="80"/>
      </w:pPr>
      <w:r>
        <w:t xml:space="preserve">La organización del caso de estudio es ficticia; los procesos descritos representan prácticas habituales del sector y no la operación de una empresa real.</w:t>
      </w:r>
    </w:p>
    <w:p>
      <w:pPr>
        <w:pStyle w:val="ListParagraph"/>
        <w:numPr>
          <w:ilvl w:val="0"/>
          <w:numId w:val="1"/>
        </w:numPr>
        <w:spacing w:after="80"/>
      </w:pPr>
      <w:r>
        <w:t xml:space="preserve">Los instrumentos utilizados en la demostración son de elaboración propia del equipo y se alinean conceptualmente a las guías de referencia de la normatividad aplicable, sin reproducir su contenido.</w:t>
      </w:r>
    </w:p>
    <w:p>
      <w:pPr>
        <w:pStyle w:val="ListParagraph"/>
        <w:numPr>
          <w:ilvl w:val="0"/>
          <w:numId w:val="1"/>
        </w:numPr>
        <w:spacing w:after="80"/>
      </w:pPr>
      <w:r>
        <w:t xml:space="preserve">Los datos de prueba se generan de forma sintética; en ningún momento del proyecto se tratan datos personales reales de personas identificables.</w:t>
      </w:r>
    </w:p>
    <w:p>
      <w:pPr>
        <w:pStyle w:val="ListParagraph"/>
        <w:numPr>
          <w:ilvl w:val="0"/>
          <w:numId w:val="1"/>
        </w:numPr>
        <w:spacing w:after="80"/>
      </w:pPr>
      <w:r>
        <w:t xml:space="preserve">El proyecto es académico y no constituye un producto certificado para acreditar el cumplimiento normativo de una organización.</w:t>
      </w:r>
    </w:p>
    <w:p>
      <w:pPr>
        <w:pStyle w:val="ListParagraph"/>
        <w:numPr>
          <w:ilvl w:val="0"/>
          <w:numId w:val="1"/>
        </w:numPr>
        <w:spacing w:after="80"/>
      </w:pPr>
      <w:r>
        <w:t xml:space="preserve">La plataforma no es un dispositivo médico ni una herramienta de diagnóstico.</w:t>
      </w:r>
    </w:p>
    <w:p>
      <w:pPr>
        <w:pStyle w:val="Heading1"/>
        <w:spacing w:after="160" w:before="320"/>
      </w:pPr>
      <w:r>
        <w:t xml:space="preserve">15. Referencias</w:t>
      </w:r>
    </w:p>
    <w:p>
      <w:pPr>
        <w:spacing w:after="160"/>
        <w:jc w:val="both"/>
      </w:pPr>
      <w:r>
        <w:t xml:space="preserve">Secretaría del Trabajo y Previsión Social. (2018). Norma Oficial Mexicana NOM-035-STPS-2018, Factores de riesgo psicosocial en el trabajo — Identificación, análisis y prevención. Diario Oficial de la Federación, 23 de octubre de 2018.</w:t>
      </w:r>
    </w:p>
    <w:p>
      <w:pPr>
        <w:spacing w:after="160"/>
        <w:jc w:val="both"/>
      </w:pPr>
      <w:r>
        <w:t xml:space="preserve">Cámara de Diputados del H. Congreso de la Unión. (2025). Ley Federal de Protección de Datos Personales en Posesión de los Particulares. Diario Oficial de la Federación, 20 de marzo de 2025.</w:t>
      </w:r>
    </w:p>
    <w:p>
      <w:pPr>
        <w:spacing w:after="160"/>
        <w:jc w:val="both"/>
      </w:pPr>
      <w:r>
        <w:t xml:space="preserve">Cámara de Diputados del H. Congreso de la Unión. Ley Federal del Trabajo (última reforma aplicable).</w:t>
      </w:r>
    </w:p>
    <w:p>
      <w:pPr>
        <w:spacing w:after="160"/>
        <w:jc w:val="both"/>
      </w:pPr>
      <w:r>
        <w:t xml:space="preserve"/>
      </w:r>
    </w:p>
    <w:p>
      <w:pPr>
        <w:spacing w:after="160"/>
        <w:jc w:val="both"/>
      </w:pPr>
      <w:r>
        <w:rPr>
          <w:i/>
          <w:iCs/>
          <w:color w:val="808080"/>
          <w:sz w:val="18"/>
          <w:szCs w:val="18"/>
        </w:rPr>
        <w:t xml:space="preserve">Nota: completar el formato de referencias conforme al estilo solicitado por el profesor y agregar las fuentes adicionales que el equipo consulte.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Plataforma de bienestar laboral y prevención de burnout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27"/>
      <w:szCs w:val="27"/>
    </w:rPr>
  </w:style>
  <w:style w:type="paragraph" w:styleId="Heading2">
    <w:name w:val="Heading 2"/>
    <w:basedOn w:val="Normal"/>
    <w:next w:val="Normal"/>
    <w:qFormat/>
    <w:pPr>
      <w:spacing w:after="110" w:before="220"/>
      <w:outlineLvl w:val="1"/>
    </w:pPr>
    <w:rPr>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2026-09-04T15:34:18.944Z</dcterms:created>
  <dcterms:modified xsi:type="dcterms:W3CDTF">2026-09-04T15:34:18.944Z</dcterms:modified>
</cp:coreProperties>
</file>

<file path=docProps/custom.xml><?xml version="1.0" encoding="utf-8"?>
<Properties xmlns="http://schemas.openxmlformats.org/officeDocument/2006/custom-properties" xmlns:vt="http://schemas.openxmlformats.org/officeDocument/2006/docPropsVTypes"/>
</file>