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Diseño de Arquitectura de Hardware</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60" w:before="320"/>
      </w:pPr>
      <w:r>
        <w:t xml:space="preserve">Contenido</w:t>
      </w:r>
    </w:p>
    <w:p>
      <w:pPr>
        <w:spacing w:after="160"/>
        <w:jc w:val="both"/>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Propósito y alcance</w:t>
      </w:r>
    </w:p>
    <w:p>
      <w:pPr>
        <w:spacing w:after="160"/>
        <w:jc w:val="both"/>
      </w:pPr>
      <w:r>
        <w:t xml:space="preserve">Este documento define la arquitectura de hardware de la Plataforma de Bienestar Laboral: qué máquinas la ejecutan, cómo se conectan, cómo se aíslan entre sí y por qué tienen el tamaño que tienen.</w:t>
      </w:r>
    </w:p>
    <w:p>
      <w:pPr>
        <w:spacing w:after="160"/>
        <w:jc w:val="both"/>
      </w:pPr>
      <w:r>
        <w:rPr>
          <w:b/>
          <w:bCs/>
          <w:i w:val="false"/>
          <w:iCs w:val="false"/>
        </w:rPr>
        <w:t xml:space="preserve">El dimensionamiento no se tomó de una plantilla. </w:t>
      </w:r>
      <w:r>
        <w:rPr>
          <w:b w:val="false"/>
          <w:bCs w:val="false"/>
          <w:i w:val="false"/>
          <w:iCs w:val="false"/>
        </w:rPr>
        <w:t xml:space="preserve">Cada especificación de este documento se deriva de una medición hecha sobre el sistema real, con la base de datos cargada al tamaño de la organización del caso de estudio y con la aplicación ejecutándose. La sección 3 presenta esas mediciones antes de proponer una sola máquina.</w:t>
      </w:r>
    </w:p>
    <w:p>
      <w:pPr>
        <w:spacing w:after="160"/>
        <w:jc w:val="both"/>
      </w:pPr>
      <w:r>
        <w:t xml:space="preserve">El alcance cubre los tres ambientes que exige la rúbrica de evaluación —developer, staging y production— y la plataforma de nube obligatoria del proyecto, Google Cloud Platform con Compute Engine. Los componentes que corresponden a parciales posteriores (microservicios, MongoDB, clúster) aparecen dimensionados como previsión, señalados de forma explícita.</w:t>
      </w:r>
    </w:p>
    <w:p>
      <w:pPr>
        <w:pStyle w:val="Heading1"/>
        <w:spacing w:after="160" w:before="320"/>
      </w:pPr>
      <w:r>
        <w:t xml:space="preserve">2. Principios de diseño</w:t>
      </w:r>
    </w:p>
    <w:p>
      <w:pPr>
        <w:spacing w:after="160"/>
        <w:jc w:val="both"/>
      </w:pPr>
      <w:r>
        <w:t xml:space="preserve">Cinco principios guían las decisiones de este documento. Cada uno responde a una característica del proyecto, no a una preferencia general.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700"/>
        <w:gridCol w:w="6380"/>
      </w:tblGrid>
      <w:tr>
        <w:trPr>
          <w:tblHeader/>
        </w:trPr>
        <w:tc>
          <w:tcPr>
            <w:tcW w:type="dxa" w:w="2700"/>
            <w:shd w:fill="1F3864" w:val="clear"/>
            <w:tcMar>
              <w:top w:type="dxa" w:w="70"/>
              <w:left w:type="dxa" w:w="100"/>
              <w:bottom w:type="dxa" w:w="70"/>
              <w:right w:type="dxa" w:w="100"/>
            </w:tcMar>
            <w:vAlign w:val="center"/>
          </w:tcPr>
          <w:p>
            <w:pPr>
              <w:jc w:val="center"/>
            </w:pPr>
            <w:r>
              <w:rPr>
                <w:b/>
                <w:bCs/>
                <w:color w:val="FFFFFF"/>
                <w:sz w:val="17"/>
                <w:szCs w:val="17"/>
              </w:rPr>
              <w:t xml:space="preserve">Principio</w:t>
            </w:r>
          </w:p>
        </w:tc>
        <w:tc>
          <w:tcPr>
            <w:tcW w:type="dxa" w:w="6380"/>
            <w:shd w:fill="1F3864" w:val="clear"/>
            <w:tcMar>
              <w:top w:type="dxa" w:w="70"/>
              <w:left w:type="dxa" w:w="100"/>
              <w:bottom w:type="dxa" w:w="70"/>
              <w:right w:type="dxa" w:w="100"/>
            </w:tcMar>
            <w:vAlign w:val="center"/>
          </w:tcPr>
          <w:p>
            <w:pPr>
              <w:jc w:val="center"/>
            </w:pPr>
            <w:r>
              <w:rPr>
                <w:b/>
                <w:bCs/>
                <w:color w:val="FFFFFF"/>
                <w:sz w:val="17"/>
                <w:szCs w:val="17"/>
              </w:rPr>
              <w:t xml:space="preserve">Por qué aplica a este sistema</w:t>
            </w:r>
          </w:p>
        </w:tc>
      </w:tr>
      <w:tr>
        <w:trPr>
          <w:cantSplit/>
        </w:trPr>
        <w:tc>
          <w:tcPr>
            <w:tcW w:type="dxa" w:w="2700"/>
            <w:tcMar>
              <w:top w:type="dxa" w:w="70"/>
              <w:left w:type="dxa" w:w="100"/>
              <w:bottom w:type="dxa" w:w="70"/>
              <w:right w:type="dxa" w:w="100"/>
            </w:tcMar>
            <w:vAlign w:val="center"/>
          </w:tcPr>
          <w:p>
            <w:pPr>
              <w:jc w:val="left"/>
            </w:pPr>
            <w:r>
              <w:rPr>
                <w:b w:val="false"/>
                <w:bCs w:val="false"/>
                <w:color w:val="000000"/>
                <w:sz w:val="16"/>
                <w:szCs w:val="16"/>
              </w:rPr>
              <w:t xml:space="preserve">Dimensionar sobre evidencia</w:t>
            </w:r>
          </w:p>
        </w:tc>
        <w:tc>
          <w:tcPr>
            <w:tcW w:type="dxa" w:w="6380"/>
            <w:tcMar>
              <w:top w:type="dxa" w:w="70"/>
              <w:left w:type="dxa" w:w="100"/>
              <w:bottom w:type="dxa" w:w="70"/>
              <w:right w:type="dxa" w:w="100"/>
            </w:tcMar>
            <w:vAlign w:val="center"/>
          </w:tcPr>
          <w:p>
            <w:pPr>
              <w:jc w:val="center"/>
            </w:pPr>
            <w:r>
              <w:rPr>
                <w:b w:val="false"/>
                <w:bCs w:val="false"/>
                <w:color w:val="000000"/>
                <w:sz w:val="16"/>
                <w:szCs w:val="16"/>
              </w:rPr>
              <w:t xml:space="preserve">Se midió el consumo real antes de elegir el tamaño de cada máquina. Sobredimensionar cuesta dinero; subdimensionar se descubre en la demostración.</w:t>
            </w:r>
          </w:p>
        </w:tc>
      </w:tr>
      <w:tr>
        <w:trPr>
          <w:cantSplit/>
        </w:trPr>
        <w:tc>
          <w:tcPr>
            <w:tcW w:type="dxa" w:w="2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Aislar los datos de la red pública</w:t>
            </w:r>
          </w:p>
        </w:tc>
        <w:tc>
          <w:tcPr>
            <w:tcW w:type="dxa" w:w="63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sistema trata datos personales sensibles. La máquina que los guarda no tiene dirección IP pública, de modo que la separación de identidad y respuestas se sostiene también a nivel de red.</w:t>
            </w:r>
          </w:p>
        </w:tc>
      </w:tr>
      <w:tr>
        <w:trPr>
          <w:cantSplit/>
        </w:trPr>
        <w:tc>
          <w:tcPr>
            <w:tcW w:type="dxa" w:w="2700"/>
            <w:tcMar>
              <w:top w:type="dxa" w:w="70"/>
              <w:left w:type="dxa" w:w="100"/>
              <w:bottom w:type="dxa" w:w="70"/>
              <w:right w:type="dxa" w:w="100"/>
            </w:tcMar>
            <w:vAlign w:val="center"/>
          </w:tcPr>
          <w:p>
            <w:pPr>
              <w:jc w:val="left"/>
            </w:pPr>
            <w:r>
              <w:rPr>
                <w:b w:val="false"/>
                <w:bCs w:val="false"/>
                <w:color w:val="000000"/>
                <w:sz w:val="16"/>
                <w:szCs w:val="16"/>
              </w:rPr>
              <w:t xml:space="preserve">Empezar simple y tener escrito cuándo crecer</w:t>
            </w:r>
          </w:p>
        </w:tc>
        <w:tc>
          <w:tcPr>
            <w:tcW w:type="dxa" w:w="6380"/>
            <w:tcMar>
              <w:top w:type="dxa" w:w="70"/>
              <w:left w:type="dxa" w:w="100"/>
              <w:bottom w:type="dxa" w:w="70"/>
              <w:right w:type="dxa" w:w="100"/>
            </w:tcMar>
            <w:vAlign w:val="center"/>
          </w:tcPr>
          <w:p>
            <w:pPr>
              <w:jc w:val="center"/>
            </w:pPr>
            <w:r>
              <w:rPr>
                <w:b w:val="false"/>
                <w:bCs w:val="false"/>
                <w:color w:val="000000"/>
                <w:sz w:val="16"/>
                <w:szCs w:val="16"/>
              </w:rPr>
              <w:t xml:space="preserve">Con la carga medida, una instancia por servicio basta. Introducir réplicas o clúster desde el inicio añadiría complejidad sin beneficio; la sección 12 define el momento exacto de hacerlo.</w:t>
            </w:r>
          </w:p>
        </w:tc>
      </w:tr>
      <w:tr>
        <w:trPr>
          <w:cantSplit/>
        </w:trPr>
        <w:tc>
          <w:tcPr>
            <w:tcW w:type="dxa" w:w="2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Paridad entre ambientes</w:t>
            </w:r>
          </w:p>
        </w:tc>
        <w:tc>
          <w:tcPr>
            <w:tcW w:type="dxa" w:w="63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Los tres ambientes ejecutan la misma imagen de contenedor. Lo único que cambia son las variables de entorno, para que un problema no aparezca por primera vez en producción.</w:t>
            </w:r>
          </w:p>
        </w:tc>
      </w:tr>
      <w:tr>
        <w:trPr>
          <w:cantSplit/>
        </w:trPr>
        <w:tc>
          <w:tcPr>
            <w:tcW w:type="dxa" w:w="2700"/>
            <w:tcMar>
              <w:top w:type="dxa" w:w="70"/>
              <w:left w:type="dxa" w:w="100"/>
              <w:bottom w:type="dxa" w:w="70"/>
              <w:right w:type="dxa" w:w="100"/>
            </w:tcMar>
            <w:vAlign w:val="center"/>
          </w:tcPr>
          <w:p>
            <w:pPr>
              <w:jc w:val="left"/>
            </w:pPr>
            <w:r>
              <w:rPr>
                <w:b w:val="false"/>
                <w:bCs w:val="false"/>
                <w:color w:val="000000"/>
                <w:sz w:val="16"/>
                <w:szCs w:val="16"/>
              </w:rPr>
              <w:t xml:space="preserve">Servicios gestionados donde tienen sentido</w:t>
            </w:r>
          </w:p>
        </w:tc>
        <w:tc>
          <w:tcPr>
            <w:tcW w:type="dxa" w:w="6380"/>
            <w:tcMar>
              <w:top w:type="dxa" w:w="70"/>
              <w:left w:type="dxa" w:w="100"/>
              <w:bottom w:type="dxa" w:w="70"/>
              <w:right w:type="dxa" w:w="100"/>
            </w:tcMar>
            <w:vAlign w:val="center"/>
          </w:tcPr>
          <w:p>
            <w:pPr>
              <w:jc w:val="center"/>
            </w:pPr>
            <w:r>
              <w:rPr>
                <w:b w:val="false"/>
                <w:bCs w:val="false"/>
                <w:color w:val="000000"/>
                <w:sz w:val="16"/>
                <w:szCs w:val="16"/>
              </w:rPr>
              <w:t xml:space="preserve">Redis, almacenamiento de objetos y secretos se toman como servicios gestionados en lugar de administrarlos en una máquina propia: reduce trabajo de operación sin comprometer el control.</w:t>
            </w:r>
          </w:p>
        </w:tc>
      </w:tr>
    </w:tbl>
    <w:p>
      <w:pPr>
        <w:pStyle w:val="Heading1"/>
        <w:spacing w:after="160" w:before="320"/>
      </w:pPr>
      <w:r>
        <w:t xml:space="preserve">3. Base empírica del dimensionamiento</w:t>
      </w:r>
    </w:p>
    <w:p>
      <w:pPr>
        <w:spacing w:after="160"/>
        <w:jc w:val="both"/>
      </w:pPr>
      <w:r>
        <w:t xml:space="preserve">Las mediciones se hicieron sobre el esquema completo del proyecto, con la organización del caso cargada a su tamaño declarado, y con la aplicación corriendo bajo Gunicorn.</w:t>
      </w:r>
    </w:p>
    <w:p>
      <w:pPr>
        <w:pStyle w:val="Heading2"/>
        <w:spacing w:after="120" w:before="240"/>
      </w:pPr>
      <w:r>
        <w:t xml:space="preserve">3.1 Condiciones de la medición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56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Aspecto</w:t>
            </w:r>
          </w:p>
        </w:tc>
        <w:tc>
          <w:tcPr>
            <w:tcW w:type="dxa" w:w="5680"/>
            <w:shd w:fill="1F3864" w:val="clear"/>
            <w:tcMar>
              <w:top w:type="dxa" w:w="70"/>
              <w:left w:type="dxa" w:w="100"/>
              <w:bottom w:type="dxa" w:w="70"/>
              <w:right w:type="dxa" w:w="100"/>
            </w:tcMar>
            <w:vAlign w:val="center"/>
          </w:tcPr>
          <w:p>
            <w:pPr>
              <w:jc w:val="center"/>
            </w:pPr>
            <w:r>
              <w:rPr>
                <w:b/>
                <w:bCs/>
                <w:color w:val="FFFFFF"/>
                <w:sz w:val="17"/>
                <w:szCs w:val="17"/>
              </w:rPr>
              <w:t xml:space="preserve">Valor</w:t>
            </w:r>
          </w:p>
        </w:tc>
      </w:tr>
      <w:tr>
        <w:trPr>
          <w:cantSplit/>
        </w:trP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Motor de base de datos</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PostgreSQL 16.13 sobre Linux x86-64</w:t>
            </w:r>
          </w:p>
        </w:tc>
      </w:tr>
      <w:tr>
        <w:trPr>
          <w:cantSplit/>
        </w:trP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Colaboradores cargados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1,161 en 16 unidades organizacionales</w:t>
            </w:r>
          </w:p>
        </w:tc>
      </w:tr>
      <w:tr>
        <w:trPr>
          <w:cantSplit/>
        </w:trP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Consentimientos vigentes</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951 aceptados vigentes (210 revocaciones registradas)</w:t>
            </w:r>
          </w:p>
        </w:tc>
      </w:tr>
      <w:tr>
        <w:trPr>
          <w:cantSplit/>
        </w:trP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Respuestas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3,804 encabezados y 19,020 reactivos</w:t>
            </w:r>
          </w:p>
        </w:tc>
      </w:tr>
      <w:tr>
        <w:trPr>
          <w:cantSplit/>
        </w:trP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Servidor de aplicación</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Gunicorn con 4 procesos de trabajo, Flask y psycopg2</w:t>
            </w:r>
          </w:p>
        </w:tc>
      </w:tr>
      <w:tr>
        <w:trPr>
          <w:cantSplit/>
        </w:trP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Operación ejercitada</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Cálculo de agregado protegido con umbral k y mecanismo de Laplace</w:t>
            </w:r>
          </w:p>
        </w:tc>
      </w:tr>
    </w:tbl>
    <w:p>
      <w:pPr>
        <w:pStyle w:val="Heading2"/>
        <w:spacing w:after="120" w:before="240"/>
      </w:pPr>
      <w:r>
        <w:t xml:space="preserve">3.2 Consumo de memoria medido</w:t>
      </w:r>
    </w:p>
    <w:p>
      <w:pPr>
        <w:spacing w:after="160"/>
        <w:jc w:val="both"/>
      </w:pPr>
      <w:r>
        <w:t xml:space="preserve">Este es el dato que determina el tamaño de las máquinas. Se midió la memoria residente de cada proceso con la carga completa en operación.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80"/>
      </w:tblGrid>
      <w:tr>
        <w:trPr>
          <w:tblHeader/>
        </w:trPr>
        <w:tc>
          <w:tcPr>
            <w:tcW w:type="dxa" w:w="4000"/>
            <w:shd w:fill="1F3864" w:val="clear"/>
            <w:tcMar>
              <w:top w:type="dxa" w:w="70"/>
              <w:left w:type="dxa" w:w="100"/>
              <w:bottom w:type="dxa" w:w="70"/>
              <w:right w:type="dxa" w:w="100"/>
            </w:tcMar>
            <w:vAlign w:val="center"/>
          </w:tcPr>
          <w:p>
            <w:pPr>
              <w:jc w:val="center"/>
            </w:pPr>
            <w:r>
              <w:rPr>
                <w:b/>
                <w:bCs/>
                <w:color w:val="FFFFFF"/>
                <w:sz w:val="17"/>
                <w:szCs w:val="17"/>
              </w:rPr>
              <w:t xml:space="preserve">Componente</w:t>
            </w:r>
          </w:p>
        </w:tc>
        <w:tc>
          <w:tcPr>
            <w:tcW w:type="dxa" w:w="2500"/>
            <w:shd w:fill="1F3864" w:val="clear"/>
            <w:tcMar>
              <w:top w:type="dxa" w:w="70"/>
              <w:left w:type="dxa" w:w="100"/>
              <w:bottom w:type="dxa" w:w="70"/>
              <w:right w:type="dxa" w:w="100"/>
            </w:tcMar>
            <w:vAlign w:val="center"/>
          </w:tcPr>
          <w:p>
            <w:pPr>
              <w:jc w:val="center"/>
            </w:pPr>
            <w:r>
              <w:rPr>
                <w:b/>
                <w:bCs/>
                <w:color w:val="FFFFFF"/>
                <w:sz w:val="17"/>
                <w:szCs w:val="17"/>
              </w:rPr>
              <w:t xml:space="preserve">Memoria residente</w:t>
            </w:r>
          </w:p>
        </w:tc>
        <w:tc>
          <w:tcPr>
            <w:tcW w:type="dxa" w:w="2580"/>
            <w:shd w:fill="1F3864" w:val="clear"/>
            <w:tcMar>
              <w:top w:type="dxa" w:w="70"/>
              <w:left w:type="dxa" w:w="100"/>
              <w:bottom w:type="dxa" w:w="70"/>
              <w:right w:type="dxa" w:w="100"/>
            </w:tcMar>
            <w:vAlign w:val="center"/>
          </w:tcPr>
          <w:p>
            <w:pPr>
              <w:jc w:val="center"/>
            </w:pPr>
            <w:r>
              <w:rPr>
                <w:b/>
                <w:bCs/>
                <w:color w:val="FFFFFF"/>
                <w:sz w:val="17"/>
                <w:szCs w:val="17"/>
              </w:rPr>
              <w:t xml:space="preserve">Observación</w:t>
            </w:r>
          </w:p>
        </w:tc>
      </w:tr>
      <w:tr>
        <w:trPr>
          <w:cantSplit/>
        </w:trPr>
        <w:tc>
          <w:tcPr>
            <w:tcW w:type="dxa" w:w="4000"/>
            <w:tcMar>
              <w:top w:type="dxa" w:w="70"/>
              <w:left w:type="dxa" w:w="100"/>
              <w:bottom w:type="dxa" w:w="70"/>
              <w:right w:type="dxa" w:w="100"/>
            </w:tcMar>
            <w:vAlign w:val="center"/>
          </w:tcPr>
          <w:p>
            <w:pPr>
              <w:jc w:val="left"/>
            </w:pPr>
            <w:r>
              <w:rPr>
                <w:b w:val="false"/>
                <w:bCs w:val="false"/>
                <w:color w:val="000000"/>
                <w:sz w:val="16"/>
                <w:szCs w:val="16"/>
              </w:rPr>
              <w:t xml:space="preserve">PostgreSQL (todos sus procesos)</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69.9 MB</w:t>
            </w:r>
          </w:p>
        </w:tc>
        <w:tc>
          <w:tcPr>
            <w:tcW w:type="dxa" w:w="2580"/>
            <w:tcMar>
              <w:top w:type="dxa" w:w="70"/>
              <w:left w:type="dxa" w:w="100"/>
              <w:bottom w:type="dxa" w:w="70"/>
              <w:right w:type="dxa" w:w="100"/>
            </w:tcMar>
            <w:vAlign w:val="center"/>
          </w:tcPr>
          <w:p>
            <w:pPr>
              <w:jc w:val="center"/>
            </w:pPr>
            <w:r>
              <w:rPr>
                <w:b w:val="false"/>
                <w:bCs w:val="false"/>
                <w:color w:val="000000"/>
                <w:sz w:val="16"/>
                <w:szCs w:val="16"/>
              </w:rPr>
              <w:t xml:space="preserve">Con la base cargada y consultas en curso</w:t>
            </w:r>
          </w:p>
        </w:tc>
      </w:tr>
      <w:tr>
        <w:trPr>
          <w:cantSplit/>
        </w:trPr>
        <w:tc>
          <w:tcPr>
            <w:tcW w:type="dxa" w:w="4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Gunicorn, proceso maestro</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21.7 MB</w:t>
            </w:r>
          </w:p>
        </w:tc>
        <w:tc>
          <w:tcPr>
            <w:tcW w:type="dxa" w:w="25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Uno por máquina</w:t>
            </w:r>
          </w:p>
        </w:tc>
      </w:tr>
      <w:tr>
        <w:trPr>
          <w:cantSplit/>
        </w:trPr>
        <w:tc>
          <w:tcPr>
            <w:tcW w:type="dxa" w:w="4000"/>
            <w:tcMar>
              <w:top w:type="dxa" w:w="70"/>
              <w:left w:type="dxa" w:w="100"/>
              <w:bottom w:type="dxa" w:w="70"/>
              <w:right w:type="dxa" w:w="100"/>
            </w:tcMar>
            <w:vAlign w:val="center"/>
          </w:tcPr>
          <w:p>
            <w:pPr>
              <w:jc w:val="left"/>
            </w:pPr>
            <w:r>
              <w:rPr>
                <w:b w:val="false"/>
                <w:bCs w:val="false"/>
                <w:color w:val="000000"/>
                <w:sz w:val="16"/>
                <w:szCs w:val="16"/>
              </w:rPr>
              <w:t xml:space="preserve">Gunicorn, cada proceso de trabajo</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34.0 MB</w:t>
            </w:r>
          </w:p>
        </w:tc>
        <w:tc>
          <w:tcPr>
            <w:tcW w:type="dxa" w:w="2580"/>
            <w:tcMar>
              <w:top w:type="dxa" w:w="70"/>
              <w:left w:type="dxa" w:w="100"/>
              <w:bottom w:type="dxa" w:w="70"/>
              <w:right w:type="dxa" w:w="100"/>
            </w:tcMar>
            <w:vAlign w:val="center"/>
          </w:tcPr>
          <w:p>
            <w:pPr>
              <w:jc w:val="center"/>
            </w:pPr>
            <w:r>
              <w:rPr>
                <w:b w:val="false"/>
                <w:bCs w:val="false"/>
                <w:color w:val="000000"/>
                <w:sz w:val="16"/>
                <w:szCs w:val="16"/>
              </w:rPr>
              <w:t xml:space="preserve">Cuatro en la configuración probada</w:t>
            </w:r>
          </w:p>
        </w:tc>
      </w:tr>
      <w:tr>
        <w:trPr>
          <w:cantSplit/>
        </w:trPr>
        <w:tc>
          <w:tcPr>
            <w:tcW w:type="dxa" w:w="4000"/>
            <w:shd w:fill="F2F2F2" w:val="clear"/>
            <w:tcMar>
              <w:top w:type="dxa" w:w="70"/>
              <w:left w:type="dxa" w:w="100"/>
              <w:bottom w:type="dxa" w:w="70"/>
              <w:right w:type="dxa" w:w="100"/>
            </w:tcMar>
            <w:vAlign w:val="center"/>
          </w:tcPr>
          <w:p>
            <w:pPr>
              <w:jc w:val="left"/>
            </w:pPr>
            <w:r>
              <w:rPr>
                <w:b/>
                <w:bCs/>
                <w:color w:val="000000"/>
                <w:sz w:val="16"/>
                <w:szCs w:val="16"/>
              </w:rPr>
              <w:t xml:space="preserve">Aplicación completa</w:t>
            </w:r>
          </w:p>
        </w:tc>
        <w:tc>
          <w:tcPr>
            <w:tcW w:type="dxa" w:w="2500"/>
            <w:shd w:fill="F2F2F2" w:val="clear"/>
            <w:tcMar>
              <w:top w:type="dxa" w:w="70"/>
              <w:left w:type="dxa" w:w="100"/>
              <w:bottom w:type="dxa" w:w="70"/>
              <w:right w:type="dxa" w:w="100"/>
            </w:tcMar>
            <w:vAlign w:val="center"/>
          </w:tcPr>
          <w:p>
            <w:pPr>
              <w:jc w:val="center"/>
            </w:pPr>
            <w:r>
              <w:rPr>
                <w:b/>
                <w:bCs/>
                <w:color w:val="000000"/>
                <w:sz w:val="16"/>
                <w:szCs w:val="16"/>
              </w:rPr>
              <w:t xml:space="preserve">158.4 MB</w:t>
            </w:r>
          </w:p>
        </w:tc>
        <w:tc>
          <w:tcPr>
            <w:tcW w:type="dxa" w:w="25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Maestro más cuatro trabajadores</w:t>
            </w:r>
          </w:p>
        </w:tc>
      </w:tr>
    </w:tbl>
    <w:p>
      <w:pPr>
        <w:spacing w:after="160"/>
        <w:jc w:val="both"/>
      </w:pPr>
      <w:r>
        <w:rPr>
          <w:b/>
          <w:bCs/>
          <w:i w:val="false"/>
          <w:iCs w:val="false"/>
        </w:rPr>
        <w:t xml:space="preserve">Hallazgo relevante: </w:t>
      </w:r>
      <w:r>
        <w:rPr>
          <w:b w:val="false"/>
          <w:bCs w:val="false"/>
          <w:i w:val="false"/>
          <w:iCs w:val="false"/>
        </w:rPr>
        <w:t xml:space="preserve">la memoria de PostgreSQL apenas se movió entre el estado en reposo y la ejecución de 312 agregados protegidos, de 69.7 MB a 69.9 MB. La carga de trabajo del sistema no infla la memoria, porque la base completa cabe holgadamente en el área de caché ya reservada.</w:t>
      </w:r>
    </w:p>
    <w:p>
      <w:pPr>
        <w:pStyle w:val="Heading2"/>
        <w:spacing w:after="120" w:before="240"/>
      </w:pPr>
      <w:r>
        <w:t xml:space="preserve">3.3 Almacenamiento medido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80"/>
      </w:tblGrid>
      <w:tr>
        <w:trPr>
          <w:tblHeader/>
        </w:trPr>
        <w:tc>
          <w:tcPr>
            <w:tcW w:type="dxa" w:w="4000"/>
            <w:shd w:fill="1F3864" w:val="clear"/>
            <w:tcMar>
              <w:top w:type="dxa" w:w="70"/>
              <w:left w:type="dxa" w:w="100"/>
              <w:bottom w:type="dxa" w:w="70"/>
              <w:right w:type="dxa" w:w="100"/>
            </w:tcMar>
            <w:vAlign w:val="center"/>
          </w:tcPr>
          <w:p>
            <w:pPr>
              <w:jc w:val="center"/>
            </w:pPr>
            <w:r>
              <w:rPr>
                <w:b/>
                <w:bCs/>
                <w:color w:val="FFFFFF"/>
                <w:sz w:val="17"/>
                <w:szCs w:val="17"/>
              </w:rPr>
              <w:t xml:space="preserve">Elemento</w:t>
            </w:r>
          </w:p>
        </w:tc>
        <w:tc>
          <w:tcPr>
            <w:tcW w:type="dxa" w:w="2500"/>
            <w:shd w:fill="1F3864" w:val="clear"/>
            <w:tcMar>
              <w:top w:type="dxa" w:w="70"/>
              <w:left w:type="dxa" w:w="100"/>
              <w:bottom w:type="dxa" w:w="70"/>
              <w:right w:type="dxa" w:w="100"/>
            </w:tcMar>
            <w:vAlign w:val="center"/>
          </w:tcPr>
          <w:p>
            <w:pPr>
              <w:jc w:val="center"/>
            </w:pPr>
            <w:r>
              <w:rPr>
                <w:b/>
                <w:bCs/>
                <w:color w:val="FFFFFF"/>
                <w:sz w:val="17"/>
                <w:szCs w:val="17"/>
              </w:rPr>
              <w:t xml:space="preserve">Tamaño</w:t>
            </w:r>
          </w:p>
        </w:tc>
        <w:tc>
          <w:tcPr>
            <w:tcW w:type="dxa" w:w="2580"/>
            <w:shd w:fill="1F3864" w:val="clear"/>
            <w:tcMar>
              <w:top w:type="dxa" w:w="70"/>
              <w:left w:type="dxa" w:w="100"/>
              <w:bottom w:type="dxa" w:w="70"/>
              <w:right w:type="dxa" w:w="100"/>
            </w:tcMar>
            <w:vAlign w:val="center"/>
          </w:tcPr>
          <w:p>
            <w:pPr>
              <w:jc w:val="center"/>
            </w:pPr>
            <w:r>
              <w:rPr>
                <w:b/>
                <w:bCs/>
                <w:color w:val="FFFFFF"/>
                <w:sz w:val="17"/>
                <w:szCs w:val="17"/>
              </w:rPr>
              <w:t xml:space="preserve">Naturaleza</w:t>
            </w:r>
          </w:p>
        </w:tc>
      </w:tr>
      <w:tr>
        <w:trPr>
          <w:cantSplit/>
        </w:trPr>
        <w:tc>
          <w:tcPr>
            <w:tcW w:type="dxa" w:w="4000"/>
            <w:tcMar>
              <w:top w:type="dxa" w:w="70"/>
              <w:left w:type="dxa" w:w="100"/>
              <w:bottom w:type="dxa" w:w="70"/>
              <w:right w:type="dxa" w:w="100"/>
            </w:tcMar>
            <w:vAlign w:val="center"/>
          </w:tcPr>
          <w:p>
            <w:pPr>
              <w:jc w:val="left"/>
            </w:pPr>
            <w:r>
              <w:rPr>
                <w:b w:val="false"/>
                <w:bCs w:val="false"/>
                <w:color w:val="000000"/>
                <w:sz w:val="16"/>
                <w:szCs w:val="16"/>
              </w:rPr>
              <w:t xml:space="preserve">Base de datos del proyecto</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12 MB</w:t>
            </w:r>
          </w:p>
        </w:tc>
        <w:tc>
          <w:tcPr>
            <w:tcW w:type="dxa" w:w="2580"/>
            <w:tcMar>
              <w:top w:type="dxa" w:w="70"/>
              <w:left w:type="dxa" w:w="100"/>
              <w:bottom w:type="dxa" w:w="70"/>
              <w:right w:type="dxa" w:w="100"/>
            </w:tcMar>
            <w:vAlign w:val="center"/>
          </w:tcPr>
          <w:p>
            <w:pPr>
              <w:jc w:val="center"/>
            </w:pPr>
            <w:r>
              <w:rPr>
                <w:b w:val="false"/>
                <w:bCs w:val="false"/>
                <w:color w:val="000000"/>
                <w:sz w:val="16"/>
                <w:szCs w:val="16"/>
              </w:rPr>
              <w:t xml:space="preserve">Cuatro campañas completas</w:t>
            </w:r>
          </w:p>
        </w:tc>
      </w:tr>
      <w:tr>
        <w:trPr>
          <w:cantSplit/>
        </w:trPr>
        <w:tc>
          <w:tcPr>
            <w:tcW w:type="dxa" w:w="4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Clúster de PostgreSQL en disco</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62 MB</w:t>
            </w:r>
          </w:p>
        </w:tc>
        <w:tc>
          <w:tcPr>
            <w:tcW w:type="dxa" w:w="25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Incluye registro de transacciones y catálogos del motor</w:t>
            </w:r>
          </w:p>
        </w:tc>
      </w:tr>
      <w:tr>
        <w:trPr>
          <w:cantSplit/>
        </w:trPr>
        <w:tc>
          <w:tcPr>
            <w:tcW w:type="dxa" w:w="4000"/>
            <w:tcMar>
              <w:top w:type="dxa" w:w="70"/>
              <w:left w:type="dxa" w:w="100"/>
              <w:bottom w:type="dxa" w:w="70"/>
              <w:right w:type="dxa" w:w="100"/>
            </w:tcMar>
            <w:vAlign w:val="center"/>
          </w:tcPr>
          <w:p>
            <w:pPr>
              <w:jc w:val="left"/>
            </w:pPr>
            <w:r>
              <w:rPr>
                <w:b w:val="false"/>
                <w:bCs w:val="false"/>
                <w:color w:val="000000"/>
                <w:sz w:val="16"/>
                <w:szCs w:val="16"/>
              </w:rPr>
              <w:t xml:space="preserve">Proyección a diez años</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~120 MB</w:t>
            </w:r>
          </w:p>
        </w:tc>
        <w:tc>
          <w:tcPr>
            <w:tcW w:type="dxa" w:w="2580"/>
            <w:tcMar>
              <w:top w:type="dxa" w:w="70"/>
              <w:left w:type="dxa" w:w="100"/>
              <w:bottom w:type="dxa" w:w="70"/>
              <w:right w:type="dxa" w:w="100"/>
            </w:tcMar>
            <w:vAlign w:val="center"/>
          </w:tcPr>
          <w:p>
            <w:pPr>
              <w:jc w:val="center"/>
            </w:pPr>
            <w:r>
              <w:rPr>
                <w:b w:val="false"/>
                <w:bCs w:val="false"/>
                <w:color w:val="000000"/>
                <w:sz w:val="16"/>
                <w:szCs w:val="16"/>
              </w:rPr>
              <w:t xml:space="preserve">Crecimiento lineal por campaña</w:t>
            </w:r>
          </w:p>
        </w:tc>
      </w:tr>
    </w:tbl>
    <w:p>
      <w:pPr>
        <w:pStyle w:val="Heading2"/>
        <w:spacing w:after="120" w:before="240"/>
      </w:pPr>
      <w:r>
        <w:t xml:space="preserve">3.4 Capacidad de proceso medida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Prueba</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Equivalencia</w:t>
            </w:r>
          </w:p>
        </w:tc>
      </w:tr>
      <w:tr>
        <w:trPr>
          <w:cantSplit/>
        </w:trP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312 agregados protegidos en lote</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1,591 ms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5.1 ms por agregado</w:t>
            </w:r>
          </w:p>
        </w:tc>
      </w:tr>
      <w:tr>
        <w:trPr>
          <w:cantSplit/>
        </w:trP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Agregado de la unidad más grande</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51.6 ms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171 respuestas procesadas</w:t>
            </w:r>
          </w:p>
        </w:tc>
      </w:tr>
      <w:tr>
        <w:trPr>
          <w:cantSplit/>
        </w:trP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Escritura de bitácora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54.7 ms por 2,000 eventos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 36,600 eventos por segundo</w:t>
            </w:r>
          </w:p>
        </w:tc>
      </w:tr>
      <w:tr>
        <w:trPr>
          <w:cantSplit/>
        </w:trP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Conexiones simultáneas observadas</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 de 100 permitidas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Sin presión sobre el límite</w:t>
            </w:r>
          </w:p>
        </w:tc>
      </w:tr>
    </w:tbl>
    <w:p>
      <w:pPr>
        <w:pStyle w:val="Heading2"/>
        <w:spacing w:after="120" w:before="240"/>
      </w:pPr>
      <w:r>
        <w:t xml:space="preserve">3.5 Latencia extremo a extremo</w:t>
      </w:r>
    </w:p>
    <w:p>
      <w:pPr>
        <w:spacing w:after="160"/>
        <w:jc w:val="both"/>
      </w:pPr>
      <w:r>
        <w:t xml:space="preserve">El documento de rendimiento anterior declaró como limitación que sus mediciones no incluían la capa de aplicación ni el protocolo HTTP. Esa limitación se cierra aquí: se midió el recorrido completo, desde la petición HTTP hasta la respuesta, pasando por el mecanismo de privacidad diferencial.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780"/>
      </w:tblGrid>
      <w:tr>
        <w:trPr>
          <w:tblHeader/>
        </w:trPr>
        <w:tc>
          <w:tcPr>
            <w:tcW w:type="dxa" w:w="2300"/>
            <w:shd w:fill="1F3864" w:val="clear"/>
            <w:tcMar>
              <w:top w:type="dxa" w:w="70"/>
              <w:left w:type="dxa" w:w="100"/>
              <w:bottom w:type="dxa" w:w="70"/>
              <w:right w:type="dxa" w:w="100"/>
            </w:tcMar>
            <w:vAlign w:val="center"/>
          </w:tcPr>
          <w:p>
            <w:pPr>
              <w:jc w:val="center"/>
            </w:pPr>
            <w:r>
              <w:rPr>
                <w:b/>
                <w:bCs/>
                <w:color w:val="FFFFFF"/>
                <w:sz w:val="17"/>
                <w:szCs w:val="17"/>
              </w:rPr>
              <w:t xml:space="preserve">Peticiones simultáneas</w:t>
            </w:r>
          </w:p>
        </w:tc>
        <w:tc>
          <w:tcPr>
            <w:tcW w:type="dxa" w:w="2000"/>
            <w:shd w:fill="1F3864" w:val="clear"/>
            <w:tcMar>
              <w:top w:type="dxa" w:w="70"/>
              <w:left w:type="dxa" w:w="100"/>
              <w:bottom w:type="dxa" w:w="70"/>
              <w:right w:type="dxa" w:w="100"/>
            </w:tcMar>
            <w:vAlign w:val="center"/>
          </w:tcPr>
          <w:p>
            <w:pPr>
              <w:jc w:val="center"/>
            </w:pPr>
            <w:r>
              <w:rPr>
                <w:b/>
                <w:bCs/>
                <w:color w:val="FFFFFF"/>
                <w:sz w:val="17"/>
                <w:szCs w:val="17"/>
              </w:rPr>
              <w:t xml:space="preserve">Latencia media</w:t>
            </w:r>
          </w:p>
        </w:tc>
        <w:tc>
          <w:tcPr>
            <w:tcW w:type="dxa" w:w="2000"/>
            <w:shd w:fill="1F3864" w:val="clear"/>
            <w:tcMar>
              <w:top w:type="dxa" w:w="70"/>
              <w:left w:type="dxa" w:w="100"/>
              <w:bottom w:type="dxa" w:w="70"/>
              <w:right w:type="dxa" w:w="100"/>
            </w:tcMar>
            <w:vAlign w:val="center"/>
          </w:tcPr>
          <w:p>
            <w:pPr>
              <w:jc w:val="center"/>
            </w:pPr>
            <w:r>
              <w:rPr>
                <w:b/>
                <w:bCs/>
                <w:color w:val="FFFFFF"/>
                <w:sz w:val="17"/>
                <w:szCs w:val="17"/>
              </w:rPr>
              <w:t xml:space="preserve">Latencia p95</w:t>
            </w:r>
          </w:p>
        </w:tc>
        <w:tc>
          <w:tcPr>
            <w:tcW w:type="dxa" w:w="2780"/>
            <w:shd w:fill="1F3864" w:val="clear"/>
            <w:tcMar>
              <w:top w:type="dxa" w:w="70"/>
              <w:left w:type="dxa" w:w="100"/>
              <w:bottom w:type="dxa" w:w="70"/>
              <w:right w:type="dxa" w:w="100"/>
            </w:tcMar>
            <w:vAlign w:val="center"/>
          </w:tcPr>
          <w:p>
            <w:pPr>
              <w:jc w:val="center"/>
            </w:pPr>
            <w:r>
              <w:rPr>
                <w:b/>
                <w:bCs/>
                <w:color w:val="FFFFFF"/>
                <w:sz w:val="17"/>
                <w:szCs w:val="17"/>
              </w:rPr>
              <w:t xml:space="preserve">Throughput</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1</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15.6 ms</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18.8 ms</w:t>
            </w:r>
          </w:p>
        </w:tc>
        <w:tc>
          <w:tcPr>
            <w:tcW w:type="dxa" w:w="2780"/>
            <w:tcMar>
              <w:top w:type="dxa" w:w="70"/>
              <w:left w:type="dxa" w:w="100"/>
              <w:bottom w:type="dxa" w:w="70"/>
              <w:right w:type="dxa" w:w="100"/>
            </w:tcMar>
            <w:vAlign w:val="center"/>
          </w:tcPr>
          <w:p>
            <w:pPr>
              <w:jc w:val="center"/>
            </w:pPr>
            <w:r>
              <w:rPr>
                <w:b w:val="false"/>
                <w:bCs w:val="false"/>
                <w:color w:val="000000"/>
                <w:sz w:val="16"/>
                <w:szCs w:val="16"/>
              </w:rPr>
              <w:t xml:space="preserve">64.1 peticiones/s</w:t>
            </w:r>
          </w:p>
        </w:tc>
      </w:tr>
      <w:tr>
        <w:trPr>
          <w:cantSplit/>
        </w:trPr>
        <w:tc>
          <w:tcPr>
            <w:tcW w:type="dxa" w:w="23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5</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45.4 ms</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67.0 ms</w:t>
            </w:r>
          </w:p>
        </w:tc>
        <w:tc>
          <w:tcPr>
            <w:tcW w:type="dxa" w:w="27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106.2 peticiones/s</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10</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85.9 ms</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109.4 ms</w:t>
            </w:r>
          </w:p>
        </w:tc>
        <w:tc>
          <w:tcPr>
            <w:tcW w:type="dxa" w:w="2780"/>
            <w:tcMar>
              <w:top w:type="dxa" w:w="70"/>
              <w:left w:type="dxa" w:w="100"/>
              <w:bottom w:type="dxa" w:w="70"/>
              <w:right w:type="dxa" w:w="100"/>
            </w:tcMar>
            <w:vAlign w:val="center"/>
          </w:tcPr>
          <w:p>
            <w:pPr>
              <w:jc w:val="center"/>
            </w:pPr>
            <w:r>
              <w:rPr>
                <w:b w:val="false"/>
                <w:bCs w:val="false"/>
                <w:color w:val="000000"/>
                <w:sz w:val="16"/>
                <w:szCs w:val="16"/>
              </w:rPr>
              <w:t xml:space="preserve">111.0 peticiones/s</w:t>
            </w:r>
          </w:p>
        </w:tc>
      </w:tr>
      <w:tr>
        <w:trPr>
          <w:cantSplit/>
        </w:trPr>
        <w:tc>
          <w:tcPr>
            <w:tcW w:type="dxa" w:w="23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25</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188.0 ms</w:t>
            </w:r>
          </w:p>
        </w:tc>
        <w:tc>
          <w:tcPr>
            <w:tcW w:type="dxa" w:w="2000"/>
            <w:shd w:fill="F2F2F2" w:val="clear"/>
            <w:tcMar>
              <w:top w:type="dxa" w:w="70"/>
              <w:left w:type="dxa" w:w="100"/>
              <w:bottom w:type="dxa" w:w="70"/>
              <w:right w:type="dxa" w:w="100"/>
            </w:tcMar>
            <w:vAlign w:val="center"/>
          </w:tcPr>
          <w:p>
            <w:pPr>
              <w:jc w:val="center"/>
            </w:pPr>
            <w:r>
              <w:rPr>
                <w:b/>
                <w:bCs/>
                <w:color w:val="000000"/>
                <w:sz w:val="16"/>
                <w:szCs w:val="16"/>
              </w:rPr>
              <w:t xml:space="preserve">224.0 ms</w:t>
            </w:r>
          </w:p>
        </w:tc>
        <w:tc>
          <w:tcPr>
            <w:tcW w:type="dxa" w:w="2780"/>
            <w:shd w:fill="F2F2F2" w:val="clear"/>
            <w:tcMar>
              <w:top w:type="dxa" w:w="70"/>
              <w:left w:type="dxa" w:w="100"/>
              <w:bottom w:type="dxa" w:w="70"/>
              <w:right w:type="dxa" w:w="100"/>
            </w:tcMar>
            <w:vAlign w:val="center"/>
          </w:tcPr>
          <w:p>
            <w:pPr>
              <w:jc w:val="center"/>
            </w:pPr>
            <w:r>
              <w:rPr>
                <w:b/>
                <w:bCs/>
                <w:color w:val="000000"/>
                <w:sz w:val="16"/>
                <w:szCs w:val="16"/>
              </w:rPr>
              <w:t xml:space="preserve">117.4 peticiones/s</w:t>
            </w:r>
          </w:p>
        </w:tc>
      </w:tr>
    </w:tbl>
    <w:p>
      <w:pPr>
        <w:spacing w:after="160"/>
        <w:jc w:val="both"/>
      </w:pPr>
      <w:r>
        <w:rPr>
          <w:b/>
          <w:bCs/>
          <w:i w:val="false"/>
          <w:iCs w:val="false"/>
        </w:rPr>
        <w:t xml:space="preserve">Interpretación: </w:t>
      </w:r>
      <w:r>
        <w:rPr>
          <w:b w:val="false"/>
          <w:bCs w:val="false"/>
          <w:i w:val="false"/>
          <w:iCs w:val="false"/>
        </w:rPr>
        <w:t xml:space="preserve">con cuatro procesos de trabajo el sistema satura alrededor de 117 peticiones por segundo. A partir de ahí el throughput deja de crecer y la latencia aumenta de forma proporcional, que es el comportamiento esperado cuando las peticiones empiezan a hacer cola. Aun con veinticinco peticiones simultáneas, la latencia del percentil 95 se mantiene en 224 ms, por debajo del objetivo de 500 ms fijado para operaciones de negocio.</w:t>
      </w:r>
    </w:p>
    <w:p>
      <w:pPr>
        <w:pStyle w:val="Heading1"/>
        <w:spacing w:after="160" w:before="320"/>
      </w:pPr>
      <w:r>
        <w:t xml:space="preserve">4. Inventario de hardware</w:t>
      </w:r>
    </w:p>
    <w:p>
      <w:pPr>
        <w:spacing w:after="160"/>
        <w:jc w:val="both"/>
      </w:pPr>
      <w:r>
        <w:t xml:space="preserve">La plataforma se ejecuta sobre cuatro elementos de cómputo y tres servicios gestionados. El inventario distingue lo que opera en este parcial de lo que se incorpora después.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80"/>
      </w:tblGrid>
      <w:tr>
        <w:trPr>
          <w:tblHeader/>
        </w:trPr>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Elemento</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Tipo</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Función</w:t>
            </w:r>
          </w:p>
        </w:tc>
        <w:tc>
          <w:tcPr>
            <w:tcW w:type="dxa" w:w="2280"/>
            <w:shd w:fill="1F3864" w:val="clear"/>
            <w:tcMar>
              <w:top w:type="dxa" w:w="70"/>
              <w:left w:type="dxa" w:w="100"/>
              <w:bottom w:type="dxa" w:w="70"/>
              <w:right w:type="dxa" w:w="100"/>
            </w:tcMar>
            <w:vAlign w:val="center"/>
          </w:tcPr>
          <w:p>
            <w:pPr>
              <w:jc w:val="center"/>
            </w:pPr>
            <w:r>
              <w:rPr>
                <w:b/>
                <w:bCs/>
                <w:color w:val="FFFFFF"/>
                <w:sz w:val="17"/>
                <w:szCs w:val="17"/>
              </w:rPr>
              <w:t xml:space="preserve">Etapa</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VM de aplicación</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Compute Engine e2-small</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Sistema web Flask con Gunicorn</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Este parcial</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VM de datos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Compute Engine e2-medium</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PostgreSQL 16</w:t>
            </w:r>
          </w:p>
        </w:tc>
        <w:tc>
          <w:tcPr>
            <w:tcW w:type="dxa" w:w="2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Este parcial</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Balanceador</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Cloud Load Balancing</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Terminación TLS y punto único de entrada</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Este parcial</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Caché y sesiones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Memorystore para Redis, 1 GB</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Sesiones, tokens revocados, caché de agregados</w:t>
            </w:r>
          </w:p>
        </w:tc>
        <w:tc>
          <w:tcPr>
            <w:tcW w:type="dxa" w:w="2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Este parcial</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Almacenamiento de objetos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Cloud Storage</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Evidencias y reportes con URLs firmadas</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Este parcial</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Gestión de secretos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Secret Manager</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Contraseñas, llaves de firma, cadenas de conexión</w:t>
            </w:r>
          </w:p>
        </w:tc>
        <w:tc>
          <w:tcPr>
            <w:tcW w:type="dxa" w:w="2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Este parcial</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Observabilidad</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Cloud Logging y Monitoring</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Bitácora de infraestructura y alertas</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Este parcial</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VM de microservicios</w:t>
            </w:r>
          </w:p>
        </w:tc>
        <w:tc>
          <w:tcPr>
            <w:tcW w:type="dxa" w:w="2200"/>
            <w:shd w:fill="F2F2F2" w:val="clear"/>
            <w:tcMar>
              <w:top w:type="dxa" w:w="70"/>
              <w:left w:type="dxa" w:w="100"/>
              <w:bottom w:type="dxa" w:w="70"/>
              <w:right w:type="dxa" w:w="100"/>
            </w:tcMar>
            <w:vAlign w:val="center"/>
          </w:tcPr>
          <w:p>
            <w:pPr>
              <w:jc w:val="left"/>
            </w:pPr>
            <w:r>
              <w:rPr>
                <w:b w:val="false"/>
                <w:bCs w:val="false"/>
                <w:color w:val="808080"/>
                <w:sz w:val="16"/>
                <w:szCs w:val="16"/>
              </w:rPr>
              <w:t xml:space="preserve">e2-small (previsión)</w:t>
            </w:r>
          </w:p>
        </w:tc>
        <w:tc>
          <w:tcPr>
            <w:tcW w:type="dxa" w:w="2200"/>
            <w:shd w:fill="F2F2F2" w:val="clear"/>
            <w:tcMar>
              <w:top w:type="dxa" w:w="70"/>
              <w:left w:type="dxa" w:w="100"/>
              <w:bottom w:type="dxa" w:w="70"/>
              <w:right w:type="dxa" w:w="100"/>
            </w:tcMar>
            <w:vAlign w:val="center"/>
          </w:tcPr>
          <w:p>
            <w:pPr>
              <w:jc w:val="left"/>
            </w:pPr>
            <w:r>
              <w:rPr>
                <w:b w:val="false"/>
                <w:bCs w:val="false"/>
                <w:color w:val="808080"/>
                <w:sz w:val="16"/>
                <w:szCs w:val="16"/>
              </w:rPr>
              <w:t xml:space="preserve">Servicios REST en contenedores</w:t>
            </w:r>
          </w:p>
        </w:tc>
        <w:tc>
          <w:tcPr>
            <w:tcW w:type="dxa" w:w="2280"/>
            <w:shd w:fill="F2F2F2" w:val="clear"/>
            <w:tcMar>
              <w:top w:type="dxa" w:w="70"/>
              <w:left w:type="dxa" w:w="100"/>
              <w:bottom w:type="dxa" w:w="70"/>
              <w:right w:type="dxa" w:w="100"/>
            </w:tcMar>
            <w:vAlign w:val="center"/>
          </w:tcPr>
          <w:p>
            <w:pPr>
              <w:jc w:val="left"/>
            </w:pPr>
            <w:r>
              <w:rPr>
                <w:b w:val="false"/>
                <w:bCs w:val="false"/>
                <w:color w:val="808080"/>
                <w:sz w:val="16"/>
                <w:szCs w:val="16"/>
              </w:rPr>
              <w:t xml:space="preserve">Segundo parcial</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MongoDB</w:t>
            </w:r>
          </w:p>
        </w:tc>
        <w:tc>
          <w:tcPr>
            <w:tcW w:type="dxa" w:w="2200"/>
            <w:tcMar>
              <w:top w:type="dxa" w:w="70"/>
              <w:left w:type="dxa" w:w="100"/>
              <w:bottom w:type="dxa" w:w="70"/>
              <w:right w:type="dxa" w:w="100"/>
            </w:tcMar>
            <w:vAlign w:val="center"/>
          </w:tcPr>
          <w:p>
            <w:pPr>
              <w:jc w:val="left"/>
            </w:pPr>
            <w:r>
              <w:rPr>
                <w:b w:val="false"/>
                <w:bCs w:val="false"/>
                <w:color w:val="808080"/>
                <w:sz w:val="16"/>
                <w:szCs w:val="16"/>
              </w:rPr>
              <w:t xml:space="preserve">Por definir</w:t>
            </w:r>
          </w:p>
        </w:tc>
        <w:tc>
          <w:tcPr>
            <w:tcW w:type="dxa" w:w="2200"/>
            <w:tcMar>
              <w:top w:type="dxa" w:w="70"/>
              <w:left w:type="dxa" w:w="100"/>
              <w:bottom w:type="dxa" w:w="70"/>
              <w:right w:type="dxa" w:w="100"/>
            </w:tcMar>
            <w:vAlign w:val="center"/>
          </w:tcPr>
          <w:p>
            <w:pPr>
              <w:jc w:val="left"/>
            </w:pPr>
            <w:r>
              <w:rPr>
                <w:b w:val="false"/>
                <w:bCs w:val="false"/>
                <w:color w:val="808080"/>
                <w:sz w:val="16"/>
                <w:szCs w:val="16"/>
              </w:rPr>
              <w:t xml:space="preserve">Respuestas históricas y telemetría</w:t>
            </w:r>
          </w:p>
        </w:tc>
        <w:tc>
          <w:tcPr>
            <w:tcW w:type="dxa" w:w="2280"/>
            <w:tcMar>
              <w:top w:type="dxa" w:w="70"/>
              <w:left w:type="dxa" w:w="100"/>
              <w:bottom w:type="dxa" w:w="70"/>
              <w:right w:type="dxa" w:w="100"/>
            </w:tcMar>
            <w:vAlign w:val="center"/>
          </w:tcPr>
          <w:p>
            <w:pPr>
              <w:jc w:val="left"/>
            </w:pPr>
            <w:r>
              <w:rPr>
                <w:b w:val="false"/>
                <w:bCs w:val="false"/>
                <w:color w:val="808080"/>
                <w:sz w:val="16"/>
                <w:szCs w:val="16"/>
              </w:rPr>
              <w:t xml:space="preserve">Segundo parcial</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Réplica de lectura</w:t>
            </w:r>
          </w:p>
        </w:tc>
        <w:tc>
          <w:tcPr>
            <w:tcW w:type="dxa" w:w="2200"/>
            <w:shd w:fill="F2F2F2" w:val="clear"/>
            <w:tcMar>
              <w:top w:type="dxa" w:w="70"/>
              <w:left w:type="dxa" w:w="100"/>
              <w:bottom w:type="dxa" w:w="70"/>
              <w:right w:type="dxa" w:w="100"/>
            </w:tcMar>
            <w:vAlign w:val="center"/>
          </w:tcPr>
          <w:p>
            <w:pPr>
              <w:jc w:val="left"/>
            </w:pPr>
            <w:r>
              <w:rPr>
                <w:b w:val="false"/>
                <w:bCs w:val="false"/>
                <w:color w:val="808080"/>
                <w:sz w:val="16"/>
                <w:szCs w:val="16"/>
              </w:rPr>
              <w:t xml:space="preserve">e2-medium (previsión)</w:t>
            </w:r>
          </w:p>
        </w:tc>
        <w:tc>
          <w:tcPr>
            <w:tcW w:type="dxa" w:w="2200"/>
            <w:shd w:fill="F2F2F2" w:val="clear"/>
            <w:tcMar>
              <w:top w:type="dxa" w:w="70"/>
              <w:left w:type="dxa" w:w="100"/>
              <w:bottom w:type="dxa" w:w="70"/>
              <w:right w:type="dxa" w:w="100"/>
            </w:tcMar>
            <w:vAlign w:val="center"/>
          </w:tcPr>
          <w:p>
            <w:pPr>
              <w:jc w:val="left"/>
            </w:pPr>
            <w:r>
              <w:rPr>
                <w:b w:val="false"/>
                <w:bCs w:val="false"/>
                <w:color w:val="808080"/>
                <w:sz w:val="16"/>
                <w:szCs w:val="16"/>
              </w:rPr>
              <w:t xml:space="preserve">Absorber consultas de tablero</w:t>
            </w:r>
          </w:p>
        </w:tc>
        <w:tc>
          <w:tcPr>
            <w:tcW w:type="dxa" w:w="2280"/>
            <w:shd w:fill="F2F2F2" w:val="clear"/>
            <w:tcMar>
              <w:top w:type="dxa" w:w="70"/>
              <w:left w:type="dxa" w:w="100"/>
              <w:bottom w:type="dxa" w:w="70"/>
              <w:right w:type="dxa" w:w="100"/>
            </w:tcMar>
            <w:vAlign w:val="center"/>
          </w:tcPr>
          <w:p>
            <w:pPr>
              <w:jc w:val="left"/>
            </w:pPr>
            <w:r>
              <w:rPr>
                <w:b w:val="false"/>
                <w:bCs w:val="false"/>
                <w:color w:val="808080"/>
                <w:sz w:val="16"/>
                <w:szCs w:val="16"/>
              </w:rPr>
              <w:t xml:space="preserve">Tercer parcial</w:t>
            </w:r>
          </w:p>
        </w:tc>
      </w:tr>
    </w:tbl>
    <w:p>
      <w:pPr>
        <w:pStyle w:val="Heading1"/>
        <w:spacing w:after="160" w:before="320"/>
      </w:pPr>
      <w:r>
        <w:t xml:space="preserve">5. Dimensionamiento justificado</w:t>
      </w:r>
    </w:p>
    <w:p>
      <w:pPr>
        <w:spacing w:after="160"/>
        <w:jc w:val="both"/>
      </w:pPr>
      <w:r>
        <w:t xml:space="preserve">Cada máquina se justifica contra la medición correspondiente. Se declara también el margen, porque un dimensionamiento sin margen explícito no es verificable.</w:t>
      </w:r>
    </w:p>
    <w:p>
      <w:pPr>
        <w:pStyle w:val="Heading2"/>
        <w:spacing w:after="120" w:before="240"/>
      </w:pPr>
      <w:r>
        <w:t xml:space="preserve">5.1 Máquina de aplicación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Recurso</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Medido</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Asignado</w:t>
            </w:r>
          </w:p>
        </w:tc>
        <w:tc>
          <w:tcPr>
            <w:tcW w:type="dxa" w:w="2080"/>
            <w:shd w:fill="1F3864" w:val="clear"/>
            <w:tcMar>
              <w:top w:type="dxa" w:w="70"/>
              <w:left w:type="dxa" w:w="100"/>
              <w:bottom w:type="dxa" w:w="70"/>
              <w:right w:type="dxa" w:w="100"/>
            </w:tcMar>
            <w:vAlign w:val="center"/>
          </w:tcPr>
          <w:p>
            <w:pPr>
              <w:jc w:val="center"/>
            </w:pPr>
            <w:r>
              <w:rPr>
                <w:b/>
                <w:bCs/>
                <w:color w:val="FFFFFF"/>
                <w:sz w:val="17"/>
                <w:szCs w:val="17"/>
              </w:rPr>
              <w:t xml:space="preserve">Margen</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Memoria</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158.4 MB (4 trabajadores)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2 GB (e2-small)</w:t>
            </w:r>
          </w:p>
        </w:tc>
        <w:tc>
          <w:tcPr>
            <w:tcW w:type="dxa" w:w="2080"/>
            <w:tcMar>
              <w:top w:type="dxa" w:w="70"/>
              <w:left w:type="dxa" w:w="100"/>
              <w:bottom w:type="dxa" w:w="70"/>
              <w:right w:type="dxa" w:w="100"/>
            </w:tcMar>
            <w:vAlign w:val="center"/>
          </w:tcPr>
          <w:p>
            <w:pPr>
              <w:jc w:val="center"/>
            </w:pPr>
            <w:r>
              <w:rPr>
                <w:b w:val="false"/>
                <w:bCs w:val="false"/>
                <w:color w:val="000000"/>
                <w:sz w:val="16"/>
                <w:szCs w:val="16"/>
              </w:rPr>
              <w:t xml:space="preserve">≈ 12 veces</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Procesador</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117 peticiones/s con 2 vCPU</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 vCPU</w:t>
            </w:r>
          </w:p>
        </w:tc>
        <w:tc>
          <w:tcPr>
            <w:tcW w:type="dxa" w:w="2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Carga esperada 100 veces menor</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Disco</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Imagen y registros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20 GB estándar</w:t>
            </w:r>
          </w:p>
        </w:tc>
        <w:tc>
          <w:tcPr>
            <w:tcW w:type="dxa" w:w="2080"/>
            <w:tcMar>
              <w:top w:type="dxa" w:w="70"/>
              <w:left w:type="dxa" w:w="100"/>
              <w:bottom w:type="dxa" w:w="70"/>
              <w:right w:type="dxa" w:w="100"/>
            </w:tcMar>
            <w:vAlign w:val="center"/>
          </w:tcPr>
          <w:p>
            <w:pPr>
              <w:jc w:val="center"/>
            </w:pPr>
            <w:r>
              <w:rPr>
                <w:b w:val="false"/>
                <w:bCs w:val="false"/>
                <w:color w:val="000000"/>
                <w:sz w:val="16"/>
                <w:szCs w:val="16"/>
              </w:rPr>
              <w:t xml:space="preserve">Suficiente</w:t>
            </w:r>
          </w:p>
        </w:tc>
      </w:tr>
    </w:tbl>
    <w:p>
      <w:pPr>
        <w:spacing w:after="160"/>
        <w:jc w:val="both"/>
      </w:pPr>
      <w:r>
        <w:rPr>
          <w:b/>
          <w:bCs/>
          <w:i w:val="false"/>
          <w:iCs w:val="false"/>
        </w:rPr>
        <w:t xml:space="preserve">Por qué e2-small y no una máquina menor. </w:t>
      </w:r>
      <w:r>
        <w:rPr>
          <w:b w:val="false"/>
          <w:bCs w:val="false"/>
          <w:i w:val="false"/>
          <w:iCs w:val="false"/>
        </w:rPr>
        <w:t xml:space="preserve">Con 158 MB medidos, una instancia de 1 GB bastaría para la aplicación. Se elige el tipo de 2 GB por dos razones concretas: el sistema operativo y el motor de contenedores consumen alrededor de 300 MB, y durante la generación de reportes la aplicación carga estructuras en memoria que no se ejercitaron en esta medición. El margen absorbe ambas situaciones sin recurrir a memoria de intercambio, que degradaría la latencia de forma notable.</w:t>
      </w:r>
    </w:p>
    <w:p>
      <w:pPr>
        <w:pStyle w:val="Heading2"/>
        <w:spacing w:after="120" w:before="240"/>
      </w:pPr>
      <w:r>
        <w:t xml:space="preserve">5.2 Máquina de datos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Recurso</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Medido</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Asignado</w:t>
            </w:r>
          </w:p>
        </w:tc>
        <w:tc>
          <w:tcPr>
            <w:tcW w:type="dxa" w:w="2080"/>
            <w:shd w:fill="1F3864" w:val="clear"/>
            <w:tcMar>
              <w:top w:type="dxa" w:w="70"/>
              <w:left w:type="dxa" w:w="100"/>
              <w:bottom w:type="dxa" w:w="70"/>
              <w:right w:type="dxa" w:w="100"/>
            </w:tcMar>
            <w:vAlign w:val="center"/>
          </w:tcPr>
          <w:p>
            <w:pPr>
              <w:jc w:val="center"/>
            </w:pPr>
            <w:r>
              <w:rPr>
                <w:b/>
                <w:bCs/>
                <w:color w:val="FFFFFF"/>
                <w:sz w:val="17"/>
                <w:szCs w:val="17"/>
              </w:rPr>
              <w:t xml:space="preserve">Margen</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Memoria</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69.9 MB en operación</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4 GB (e2-medium)</w:t>
            </w:r>
          </w:p>
        </w:tc>
        <w:tc>
          <w:tcPr>
            <w:tcW w:type="dxa" w:w="2080"/>
            <w:tcMar>
              <w:top w:type="dxa" w:w="70"/>
              <w:left w:type="dxa" w:w="100"/>
              <w:bottom w:type="dxa" w:w="70"/>
              <w:right w:type="dxa" w:w="100"/>
            </w:tcMar>
            <w:vAlign w:val="center"/>
          </w:tcPr>
          <w:p>
            <w:pPr>
              <w:jc w:val="center"/>
            </w:pPr>
            <w:r>
              <w:rPr>
                <w:b w:val="false"/>
                <w:bCs w:val="false"/>
                <w:color w:val="000000"/>
                <w:sz w:val="16"/>
                <w:szCs w:val="16"/>
              </w:rPr>
              <w:t xml:space="preserve">≈ 57 veces</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Procesador</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5.1 ms por agregado</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 vCPU</w:t>
            </w:r>
          </w:p>
        </w:tc>
        <w:tc>
          <w:tcPr>
            <w:tcW w:type="dxa" w:w="2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Amplio</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Disco</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62 MB de clúster</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20 GB SSD</w:t>
            </w:r>
          </w:p>
        </w:tc>
        <w:tc>
          <w:tcPr>
            <w:tcW w:type="dxa" w:w="2080"/>
            <w:tcMar>
              <w:top w:type="dxa" w:w="70"/>
              <w:left w:type="dxa" w:w="100"/>
              <w:bottom w:type="dxa" w:w="70"/>
              <w:right w:type="dxa" w:w="100"/>
            </w:tcMar>
            <w:vAlign w:val="center"/>
          </w:tcPr>
          <w:p>
            <w:pPr>
              <w:jc w:val="center"/>
            </w:pPr>
            <w:r>
              <w:rPr>
                <w:b w:val="false"/>
                <w:bCs w:val="false"/>
                <w:color w:val="000000"/>
                <w:sz w:val="16"/>
                <w:szCs w:val="16"/>
              </w:rPr>
              <w:t xml:space="preserve">≈ 320 veces</w:t>
            </w:r>
          </w:p>
        </w:tc>
      </w:tr>
    </w:tbl>
    <w:p>
      <w:pPr>
        <w:spacing w:after="160"/>
        <w:jc w:val="both"/>
      </w:pPr>
      <w:r>
        <w:rPr>
          <w:b/>
          <w:bCs/>
          <w:i w:val="false"/>
          <w:iCs w:val="false"/>
        </w:rPr>
        <w:t xml:space="preserve">Por qué e2-medium para una base de 12 MB. </w:t>
      </w:r>
      <w:r>
        <w:rPr>
          <w:b w:val="false"/>
          <w:bCs w:val="false"/>
          <w:i w:val="false"/>
          <w:iCs w:val="false"/>
        </w:rPr>
        <w:t xml:space="preserve">La medida sola justificaría la máquina más pequeña del catálogo. La elección responde a tres criterios distintos del consumo actual: primero, con 4 GB se puede asignar un gigabyte al área de caché del motor y mantener la base completa residente en memoria, lo que elimina lectura de disco en el camino crítico; segundo, esta máquina alojará MongoDB en el segundo parcial; tercero, el respaldo y las tareas de mantenimiento del motor compiten por memoria con las consultas, y el margen evita que una tarea de mantenimiento degrade el servicio.</w:t>
      </w:r>
    </w:p>
    <w:p>
      <w:pPr>
        <w:pStyle w:val="Heading2"/>
        <w:spacing w:after="120" w:before="240"/>
      </w:pPr>
      <w:r>
        <w:t xml:space="preserve">5.3 Configuración recomendada de PostgreSQL</w:t>
      </w:r>
    </w:p>
    <w:p>
      <w:pPr>
        <w:spacing w:after="160"/>
        <w:jc w:val="both"/>
      </w:pPr>
      <w:r>
        <w:t xml:space="preserve">Los valores por omisión del motor no aprovechan la máquina asignada. La configuración propuesta parte del tamaño real de la base.</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shared_buffers        = 1GB     # la base completa (12 MB) cabe muchas veces</w:t>
      </w:r>
      <w:r>
        <w:br/>
      </w:r>
      <w:r>
        <w:rPr>
          <w:rFonts w:ascii="Consolas" w:cs="Consolas" w:eastAsia="Consolas" w:hAnsi="Consolas"/>
          <w:sz w:val="16"/>
          <w:szCs w:val="16"/>
        </w:rPr>
        <w:t xml:space="preserve">effective_cache_size  = 3GB     # el planificador asume disponibilidad de caché</w:t>
      </w:r>
      <w:r>
        <w:br/>
      </w:r>
      <w:r>
        <w:rPr>
          <w:rFonts w:ascii="Consolas" w:cs="Consolas" w:eastAsia="Consolas" w:hAnsi="Consolas"/>
          <w:sz w:val="16"/>
          <w:szCs w:val="16"/>
        </w:rPr>
        <w:t xml:space="preserve">work_mem              = 16MB    # ordenamientos de la vista de consentimiento</w:t>
      </w:r>
      <w:r>
        <w:br/>
      </w:r>
      <w:r>
        <w:rPr>
          <w:rFonts w:ascii="Consolas" w:cs="Consolas" w:eastAsia="Consolas" w:hAnsi="Consolas"/>
          <w:sz w:val="16"/>
          <w:szCs w:val="16"/>
        </w:rPr>
        <w:t xml:space="preserve">maintenance_work_mem  = 256MB   # respaldos y reconstrucción de índices</w:t>
      </w:r>
      <w:r>
        <w:br/>
      </w:r>
      <w:r>
        <w:rPr>
          <w:rFonts w:ascii="Consolas" w:cs="Consolas" w:eastAsia="Consolas" w:hAnsi="Consolas"/>
          <w:sz w:val="16"/>
          <w:szCs w:val="16"/>
        </w:rPr>
        <w:t xml:space="preserve">max_connections       = 50      # se observaron 6; 50 deja margen amplio</w:t>
      </w:r>
    </w:p>
    <w:p>
      <w:pPr>
        <w:spacing w:after="160"/>
        <w:jc w:val="both"/>
      </w:pPr>
      <w:r>
        <w:t xml:space="preserve">La reducción del límite de conexiones de 100 a 50 es deliberada: cada conexión reserva memoria, y con seis conexiones observadas un límite de cien solo abre la puerta a que un error de programación agote la memoria de la máquina.</w:t>
      </w:r>
    </w:p>
    <w:p>
      <w:pPr>
        <w:pStyle w:val="Heading2"/>
        <w:spacing w:after="120" w:before="240"/>
      </w:pPr>
      <w:r>
        <w:t xml:space="preserve">5.4 Resumen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680"/>
      </w:tblGrid>
      <w:tr>
        <w:trPr>
          <w:tblHeader/>
        </w:trPr>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Máquina</w:t>
            </w:r>
          </w:p>
        </w:tc>
        <w:tc>
          <w:tcPr>
            <w:tcW w:type="dxa" w:w="1800"/>
            <w:shd w:fill="1F3864" w:val="clear"/>
            <w:tcMar>
              <w:top w:type="dxa" w:w="70"/>
              <w:left w:type="dxa" w:w="100"/>
              <w:bottom w:type="dxa" w:w="70"/>
              <w:right w:type="dxa" w:w="100"/>
            </w:tcMar>
            <w:vAlign w:val="center"/>
          </w:tcPr>
          <w:p>
            <w:pPr>
              <w:jc w:val="center"/>
            </w:pPr>
            <w:r>
              <w:rPr>
                <w:b/>
                <w:bCs/>
                <w:color w:val="FFFFFF"/>
                <w:sz w:val="17"/>
                <w:szCs w:val="17"/>
              </w:rPr>
              <w:t xml:space="preserve">Tipo</w:t>
            </w:r>
          </w:p>
        </w:tc>
        <w:tc>
          <w:tcPr>
            <w:tcW w:type="dxa" w:w="1800"/>
            <w:shd w:fill="1F3864" w:val="clear"/>
            <w:tcMar>
              <w:top w:type="dxa" w:w="70"/>
              <w:left w:type="dxa" w:w="100"/>
              <w:bottom w:type="dxa" w:w="70"/>
              <w:right w:type="dxa" w:w="100"/>
            </w:tcMar>
            <w:vAlign w:val="center"/>
          </w:tcPr>
          <w:p>
            <w:pPr>
              <w:jc w:val="center"/>
            </w:pPr>
            <w:r>
              <w:rPr>
                <w:b/>
                <w:bCs/>
                <w:color w:val="FFFFFF"/>
                <w:sz w:val="17"/>
                <w:szCs w:val="17"/>
              </w:rPr>
              <w:t xml:space="preserve">vCPU</w:t>
            </w:r>
          </w:p>
        </w:tc>
        <w:tc>
          <w:tcPr>
            <w:tcW w:type="dxa" w:w="1600"/>
            <w:shd w:fill="1F3864" w:val="clear"/>
            <w:tcMar>
              <w:top w:type="dxa" w:w="70"/>
              <w:left w:type="dxa" w:w="100"/>
              <w:bottom w:type="dxa" w:w="70"/>
              <w:right w:type="dxa" w:w="100"/>
            </w:tcMar>
            <w:vAlign w:val="center"/>
          </w:tcPr>
          <w:p>
            <w:pPr>
              <w:jc w:val="center"/>
            </w:pPr>
            <w:r>
              <w:rPr>
                <w:b/>
                <w:bCs/>
                <w:color w:val="FFFFFF"/>
                <w:sz w:val="17"/>
                <w:szCs w:val="17"/>
              </w:rPr>
              <w:t xml:space="preserve">Memoria</w:t>
            </w:r>
          </w:p>
        </w:tc>
        <w:tc>
          <w:tcPr>
            <w:tcW w:type="dxa" w:w="1680"/>
            <w:shd w:fill="1F3864" w:val="clear"/>
            <w:tcMar>
              <w:top w:type="dxa" w:w="70"/>
              <w:left w:type="dxa" w:w="100"/>
              <w:bottom w:type="dxa" w:w="70"/>
              <w:right w:type="dxa" w:w="100"/>
            </w:tcMar>
            <w:vAlign w:val="center"/>
          </w:tcPr>
          <w:p>
            <w:pPr>
              <w:jc w:val="center"/>
            </w:pPr>
            <w:r>
              <w:rPr>
                <w:b/>
                <w:bCs/>
                <w:color w:val="FFFFFF"/>
                <w:sz w:val="17"/>
                <w:szCs w:val="17"/>
              </w:rPr>
              <w:t xml:space="preserve">Disco</w:t>
            </w:r>
          </w:p>
        </w:tc>
      </w:tr>
      <w:tr>
        <w:trPr>
          <w:cantSplit/>
        </w:trPr>
        <w:tc>
          <w:tcPr>
            <w:tcW w:type="dxa" w:w="2200"/>
            <w:tcMar>
              <w:top w:type="dxa" w:w="70"/>
              <w:left w:type="dxa" w:w="100"/>
              <w:bottom w:type="dxa" w:w="70"/>
              <w:right w:type="dxa" w:w="100"/>
            </w:tcMar>
            <w:vAlign w:val="center"/>
          </w:tcPr>
          <w:p>
            <w:pPr>
              <w:jc w:val="left"/>
            </w:pPr>
            <w:r>
              <w:rPr>
                <w:b w:val="false"/>
                <w:bCs w:val="false"/>
                <w:color w:val="000000"/>
                <w:sz w:val="16"/>
                <w:szCs w:val="16"/>
              </w:rPr>
              <w:t xml:space="preserve">Aplicación</w:t>
            </w:r>
          </w:p>
        </w:tc>
        <w:tc>
          <w:tcPr>
            <w:tcW w:type="dxa" w:w="1800"/>
            <w:tcMar>
              <w:top w:type="dxa" w:w="70"/>
              <w:left w:type="dxa" w:w="100"/>
              <w:bottom w:type="dxa" w:w="70"/>
              <w:right w:type="dxa" w:w="100"/>
            </w:tcMar>
            <w:vAlign w:val="center"/>
          </w:tcPr>
          <w:p>
            <w:pPr>
              <w:jc w:val="center"/>
            </w:pPr>
            <w:r>
              <w:rPr>
                <w:b w:val="false"/>
                <w:bCs w:val="false"/>
                <w:color w:val="000000"/>
                <w:sz w:val="16"/>
                <w:szCs w:val="16"/>
              </w:rPr>
              <w:t xml:space="preserve">e2-small</w:t>
            </w:r>
          </w:p>
        </w:tc>
        <w:tc>
          <w:tcPr>
            <w:tcW w:type="dxa" w:w="1800"/>
            <w:tcMar>
              <w:top w:type="dxa" w:w="70"/>
              <w:left w:type="dxa" w:w="100"/>
              <w:bottom w:type="dxa" w:w="70"/>
              <w:right w:type="dxa" w:w="100"/>
            </w:tcMar>
            <w:vAlign w:val="center"/>
          </w:tcPr>
          <w:p>
            <w:pPr>
              <w:jc w:val="center"/>
            </w:pPr>
            <w:r>
              <w:rPr>
                <w:b w:val="false"/>
                <w:bCs w:val="false"/>
                <w:color w:val="000000"/>
                <w:sz w:val="16"/>
                <w:szCs w:val="16"/>
              </w:rPr>
              <w:t xml:space="preserve">2 (compartidas)</w:t>
            </w:r>
          </w:p>
        </w:tc>
        <w:tc>
          <w:tcPr>
            <w:tcW w:type="dxa" w:w="1600"/>
            <w:tcMar>
              <w:top w:type="dxa" w:w="70"/>
              <w:left w:type="dxa" w:w="100"/>
              <w:bottom w:type="dxa" w:w="70"/>
              <w:right w:type="dxa" w:w="100"/>
            </w:tcMar>
            <w:vAlign w:val="center"/>
          </w:tcPr>
          <w:p>
            <w:pPr>
              <w:jc w:val="center"/>
            </w:pPr>
            <w:r>
              <w:rPr>
                <w:b w:val="false"/>
                <w:bCs w:val="false"/>
                <w:color w:val="000000"/>
                <w:sz w:val="16"/>
                <w:szCs w:val="16"/>
              </w:rPr>
              <w:t xml:space="preserve">2 GB</w:t>
            </w:r>
          </w:p>
        </w:tc>
        <w:tc>
          <w:tcPr>
            <w:tcW w:type="dxa" w:w="1680"/>
            <w:tcMar>
              <w:top w:type="dxa" w:w="70"/>
              <w:left w:type="dxa" w:w="100"/>
              <w:bottom w:type="dxa" w:w="70"/>
              <w:right w:type="dxa" w:w="100"/>
            </w:tcMar>
            <w:vAlign w:val="center"/>
          </w:tcPr>
          <w:p>
            <w:pPr>
              <w:jc w:val="center"/>
            </w:pPr>
            <w:r>
              <w:rPr>
                <w:b w:val="false"/>
                <w:bCs w:val="false"/>
                <w:color w:val="000000"/>
                <w:sz w:val="16"/>
                <w:szCs w:val="16"/>
              </w:rPr>
              <w:t xml:space="preserve">20 GB estándar</w:t>
            </w:r>
          </w:p>
        </w:tc>
      </w:tr>
      <w:tr>
        <w:trPr>
          <w:cantSplit/>
        </w:trPr>
        <w:tc>
          <w:tcPr>
            <w:tcW w:type="dxa" w:w="2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Datos</w:t>
            </w:r>
          </w:p>
        </w:tc>
        <w:tc>
          <w:tcPr>
            <w:tcW w:type="dxa" w:w="1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e2-medium</w:t>
            </w:r>
          </w:p>
        </w:tc>
        <w:tc>
          <w:tcPr>
            <w:tcW w:type="dxa" w:w="1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 (compartidas)</w:t>
            </w:r>
          </w:p>
        </w:tc>
        <w:tc>
          <w:tcPr>
            <w:tcW w:type="dxa" w:w="16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4 GB</w:t>
            </w:r>
          </w:p>
        </w:tc>
        <w:tc>
          <w:tcPr>
            <w:tcW w:type="dxa" w:w="1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20 GB SSD</w:t>
            </w:r>
          </w:p>
        </w:tc>
      </w:tr>
      <w:tr>
        <w:trPr>
          <w:cantSplit/>
        </w:trPr>
        <w:tc>
          <w:tcPr>
            <w:tcW w:type="dxa" w:w="2200"/>
            <w:tcMar>
              <w:top w:type="dxa" w:w="70"/>
              <w:left w:type="dxa" w:w="100"/>
              <w:bottom w:type="dxa" w:w="70"/>
              <w:right w:type="dxa" w:w="100"/>
            </w:tcMar>
            <w:vAlign w:val="center"/>
          </w:tcPr>
          <w:p>
            <w:pPr>
              <w:jc w:val="left"/>
            </w:pPr>
            <w:r>
              <w:rPr>
                <w:b w:val="false"/>
                <w:bCs w:val="false"/>
                <w:color w:val="000000"/>
                <w:sz w:val="16"/>
                <w:szCs w:val="16"/>
              </w:rPr>
              <w:t xml:space="preserve">Redis</w:t>
            </w:r>
          </w:p>
        </w:tc>
        <w:tc>
          <w:tcPr>
            <w:tcW w:type="dxa" w:w="1800"/>
            <w:tcMar>
              <w:top w:type="dxa" w:w="70"/>
              <w:left w:type="dxa" w:w="100"/>
              <w:bottom w:type="dxa" w:w="70"/>
              <w:right w:type="dxa" w:w="100"/>
            </w:tcMar>
            <w:vAlign w:val="center"/>
          </w:tcPr>
          <w:p>
            <w:pPr>
              <w:jc w:val="center"/>
            </w:pPr>
            <w:r>
              <w:rPr>
                <w:b w:val="false"/>
                <w:bCs w:val="false"/>
                <w:color w:val="000000"/>
                <w:sz w:val="16"/>
                <w:szCs w:val="16"/>
              </w:rPr>
              <w:t xml:space="preserve">Memorystore</w:t>
            </w:r>
          </w:p>
        </w:tc>
        <w:tc>
          <w:tcPr>
            <w:tcW w:type="dxa" w:w="1800"/>
            <w:tcMar>
              <w:top w:type="dxa" w:w="70"/>
              <w:left w:type="dxa" w:w="100"/>
              <w:bottom w:type="dxa" w:w="70"/>
              <w:right w:type="dxa" w:w="100"/>
            </w:tcMar>
            <w:vAlign w:val="center"/>
          </w:tcPr>
          <w:p>
            <w:pPr>
              <w:jc w:val="center"/>
            </w:pPr>
            <w:r>
              <w:rPr>
                <w:b w:val="false"/>
                <w:bCs w:val="false"/>
                <w:color w:val="000000"/>
                <w:sz w:val="16"/>
                <w:szCs w:val="16"/>
              </w:rPr>
              <w:t xml:space="preserve">—</w:t>
            </w:r>
          </w:p>
        </w:tc>
        <w:tc>
          <w:tcPr>
            <w:tcW w:type="dxa" w:w="1600"/>
            <w:tcMar>
              <w:top w:type="dxa" w:w="70"/>
              <w:left w:type="dxa" w:w="100"/>
              <w:bottom w:type="dxa" w:w="70"/>
              <w:right w:type="dxa" w:w="100"/>
            </w:tcMar>
            <w:vAlign w:val="center"/>
          </w:tcPr>
          <w:p>
            <w:pPr>
              <w:jc w:val="center"/>
            </w:pPr>
            <w:r>
              <w:rPr>
                <w:b w:val="false"/>
                <w:bCs w:val="false"/>
                <w:color w:val="000000"/>
                <w:sz w:val="16"/>
                <w:szCs w:val="16"/>
              </w:rPr>
              <w:t xml:space="preserve">1 GB</w:t>
            </w:r>
          </w:p>
        </w:tc>
        <w:tc>
          <w:tcPr>
            <w:tcW w:type="dxa" w:w="1680"/>
            <w:tcMar>
              <w:top w:type="dxa" w:w="70"/>
              <w:left w:type="dxa" w:w="100"/>
              <w:bottom w:type="dxa" w:w="70"/>
              <w:right w:type="dxa" w:w="100"/>
            </w:tcMar>
            <w:vAlign w:val="center"/>
          </w:tcPr>
          <w:p>
            <w:pPr>
              <w:jc w:val="center"/>
            </w:pPr>
            <w:r>
              <w:rPr>
                <w:b w:val="false"/>
                <w:bCs w:val="false"/>
                <w:color w:val="000000"/>
                <w:sz w:val="16"/>
                <w:szCs w:val="16"/>
              </w:rPr>
              <w:t xml:space="preserve">—</w:t>
            </w:r>
          </w:p>
        </w:tc>
      </w:tr>
    </w:tbl>
    <w:p>
      <w:pPr>
        <w:pStyle w:val="Heading1"/>
        <w:spacing w:after="160" w:before="320"/>
      </w:pPr>
      <w:r>
        <w:t xml:space="preserve">6. Topología de despliegue</w:t>
      </w:r>
    </w:p>
    <w:p>
      <w:pPr>
        <w:spacing w:after="160"/>
        <w:jc w:val="both"/>
      </w:pPr>
      <w:r>
        <w:t xml:space="preserve">La topología separa el sistema en dos niveles de red: uno accesible desde Internet a través del balanceador, y otro donde viven los datos, sin dirección pública.</w:t>
      </w:r>
    </w:p>
    <w:p>
      <w:pPr>
        <w:spacing w:after="80" w:before="120"/>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76725"/>
                    </a:xfrm>
                    <a:prstGeom prst="rect">
                      <a:avLst/>
                    </a:prstGeom>
                  </pic:spPr>
                </pic:pic>
              </a:graphicData>
            </a:graphic>
          </wp:inline>
        </w:drawing>
      </w:r>
    </w:p>
    <w:p>
      <w:pPr>
        <w:spacing w:after="240"/>
        <w:jc w:val="center"/>
      </w:pPr>
      <w:r>
        <w:rPr>
          <w:i/>
          <w:iCs/>
          <w:color w:val="808080"/>
          <w:sz w:val="18"/>
          <w:szCs w:val="18"/>
        </w:rPr>
        <w:t xml:space="preserve">Figura 1. Topología de despliegue del ambiente de producción.</w:t>
      </w:r>
    </w:p>
    <w:p>
      <w:pPr>
        <w:pStyle w:val="Heading1"/>
        <w:spacing w:after="160" w:before="320"/>
      </w:pPr>
      <w:r>
        <w:t xml:space="preserve">7. Segmentación de red y reglas de firewall</w:t>
      </w:r>
    </w:p>
    <w:p>
      <w:pPr>
        <w:spacing w:after="160"/>
        <w:jc w:val="both"/>
      </w:pPr>
      <w:r>
        <w:t xml:space="preserve">La segmentación es el control de infraestructura que sostiene las decisiones de privacidad del proyecto. La decisión D-01 separa identidad de respuestas en el modelo de datos; la red hace que esa separación también sea difícil de vulnerar desde fuera.</w:t>
      </w:r>
    </w:p>
    <w:p>
      <w:pPr>
        <w:spacing w:after="80" w:before="120"/>
        <w:jc w:val="center"/>
      </w:pPr>
      <w:r>
        <w:drawing>
          <wp:inline distT="0" distB="0" distL="0" distR="0">
            <wp:extent cx="5905500" cy="3524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24250"/>
                    </a:xfrm>
                    <a:prstGeom prst="rect">
                      <a:avLst/>
                    </a:prstGeom>
                  </pic:spPr>
                </pic:pic>
              </a:graphicData>
            </a:graphic>
          </wp:inline>
        </w:drawing>
      </w:r>
    </w:p>
    <w:p>
      <w:pPr>
        <w:spacing w:after="240"/>
        <w:jc w:val="center"/>
      </w:pPr>
      <w:r>
        <w:rPr>
          <w:i/>
          <w:iCs/>
          <w:color w:val="808080"/>
          <w:sz w:val="18"/>
          <w:szCs w:val="18"/>
        </w:rPr>
        <w:t xml:space="preserve">Figura 2. Segmentación de red y zonas de confianza.</w:t>
      </w:r>
    </w:p>
    <w:p>
      <w:pPr>
        <w:pStyle w:val="Heading1"/>
        <w:spacing w:after="160" w:before="320"/>
      </w:pPr>
      <w:r>
        <w:t xml:space="preserve">8. Reglas de firewall declaradas</w:t>
      </w:r>
    </w:p>
    <w:p>
      <w:pPr>
        <w:spacing w:after="160"/>
        <w:jc w:val="both"/>
      </w:pPr>
      <w:r>
        <w:t xml:space="preserve">La política de base es denegar todo el tráfico. Cada regla abre un puerto específico entre dos puntos concretos y se justifica.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500"/>
        <w:gridCol w:w="2380"/>
      </w:tblGrid>
      <w:tr>
        <w:trPr>
          <w:tblHeader/>
        </w:trPr>
        <w:tc>
          <w:tcPr>
            <w:tcW w:type="dxa" w:w="1800"/>
            <w:shd w:fill="1F3864" w:val="clear"/>
            <w:tcMar>
              <w:top w:type="dxa" w:w="70"/>
              <w:left w:type="dxa" w:w="100"/>
              <w:bottom w:type="dxa" w:w="70"/>
              <w:right w:type="dxa" w:w="100"/>
            </w:tcMar>
            <w:vAlign w:val="center"/>
          </w:tcPr>
          <w:p>
            <w:pPr>
              <w:jc w:val="center"/>
            </w:pPr>
            <w:r>
              <w:rPr>
                <w:b/>
                <w:bCs/>
                <w:color w:val="FFFFFF"/>
                <w:sz w:val="17"/>
                <w:szCs w:val="17"/>
              </w:rPr>
              <w:t xml:space="preserve">Regla</w:t>
            </w:r>
          </w:p>
        </w:tc>
        <w:tc>
          <w:tcPr>
            <w:tcW w:type="dxa" w:w="1700"/>
            <w:shd w:fill="1F3864" w:val="clear"/>
            <w:tcMar>
              <w:top w:type="dxa" w:w="70"/>
              <w:left w:type="dxa" w:w="100"/>
              <w:bottom w:type="dxa" w:w="70"/>
              <w:right w:type="dxa" w:w="100"/>
            </w:tcMar>
            <w:vAlign w:val="center"/>
          </w:tcPr>
          <w:p>
            <w:pPr>
              <w:jc w:val="center"/>
            </w:pPr>
            <w:r>
              <w:rPr>
                <w:b/>
                <w:bCs/>
                <w:color w:val="FFFFFF"/>
                <w:sz w:val="17"/>
                <w:szCs w:val="17"/>
              </w:rPr>
              <w:t xml:space="preserve">Origen</w:t>
            </w:r>
          </w:p>
        </w:tc>
        <w:tc>
          <w:tcPr>
            <w:tcW w:type="dxa" w:w="1700"/>
            <w:shd w:fill="1F3864" w:val="clear"/>
            <w:tcMar>
              <w:top w:type="dxa" w:w="70"/>
              <w:left w:type="dxa" w:w="100"/>
              <w:bottom w:type="dxa" w:w="70"/>
              <w:right w:type="dxa" w:w="100"/>
            </w:tcMar>
            <w:vAlign w:val="center"/>
          </w:tcPr>
          <w:p>
            <w:pPr>
              <w:jc w:val="center"/>
            </w:pPr>
            <w:r>
              <w:rPr>
                <w:b/>
                <w:bCs/>
                <w:color w:val="FFFFFF"/>
                <w:sz w:val="17"/>
                <w:szCs w:val="17"/>
              </w:rPr>
              <w:t xml:space="preserve">Destino</w:t>
            </w:r>
          </w:p>
        </w:tc>
        <w:tc>
          <w:tcPr>
            <w:tcW w:type="dxa" w:w="1500"/>
            <w:shd w:fill="1F3864" w:val="clear"/>
            <w:tcMar>
              <w:top w:type="dxa" w:w="70"/>
              <w:left w:type="dxa" w:w="100"/>
              <w:bottom w:type="dxa" w:w="70"/>
              <w:right w:type="dxa" w:w="100"/>
            </w:tcMar>
            <w:vAlign w:val="center"/>
          </w:tcPr>
          <w:p>
            <w:pPr>
              <w:jc w:val="center"/>
            </w:pPr>
            <w:r>
              <w:rPr>
                <w:b/>
                <w:bCs/>
                <w:color w:val="FFFFFF"/>
                <w:sz w:val="17"/>
                <w:szCs w:val="17"/>
              </w:rPr>
              <w:t xml:space="preserve">Puerto</w:t>
            </w:r>
          </w:p>
        </w:tc>
        <w:tc>
          <w:tcPr>
            <w:tcW w:type="dxa" w:w="2380"/>
            <w:shd w:fill="1F3864" w:val="clear"/>
            <w:tcMar>
              <w:top w:type="dxa" w:w="70"/>
              <w:left w:type="dxa" w:w="100"/>
              <w:bottom w:type="dxa" w:w="70"/>
              <w:right w:type="dxa" w:w="100"/>
            </w:tcMar>
            <w:vAlign w:val="center"/>
          </w:tcPr>
          <w:p>
            <w:pPr>
              <w:jc w:val="center"/>
            </w:pPr>
            <w:r>
              <w:rPr>
                <w:b/>
                <w:bCs/>
                <w:color w:val="FFFFFF"/>
                <w:sz w:val="17"/>
                <w:szCs w:val="17"/>
              </w:rPr>
              <w:t xml:space="preserve">Justificación</w:t>
            </w:r>
          </w:p>
        </w:tc>
      </w:tr>
      <w:tr>
        <w:trPr>
          <w:cantSplit/>
        </w:trPr>
        <w:tc>
          <w:tcPr>
            <w:tcW w:type="dxa" w:w="1800"/>
            <w:tcMar>
              <w:top w:type="dxa" w:w="70"/>
              <w:left w:type="dxa" w:w="100"/>
              <w:bottom w:type="dxa" w:w="70"/>
              <w:right w:type="dxa" w:w="100"/>
            </w:tcMar>
            <w:vAlign w:val="center"/>
          </w:tcPr>
          <w:p>
            <w:pPr>
              <w:jc w:val="left"/>
            </w:pPr>
            <w:r>
              <w:rPr>
                <w:b w:val="false"/>
                <w:bCs w:val="false"/>
                <w:color w:val="000000"/>
                <w:sz w:val="16"/>
                <w:szCs w:val="16"/>
              </w:rPr>
              <w:t xml:space="preserve">Entrada web</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Internet</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Balanceador</w:t>
            </w:r>
          </w:p>
        </w:tc>
        <w:tc>
          <w:tcPr>
            <w:tcW w:type="dxa" w:w="1500"/>
            <w:tcMar>
              <w:top w:type="dxa" w:w="70"/>
              <w:left w:type="dxa" w:w="100"/>
              <w:bottom w:type="dxa" w:w="70"/>
              <w:right w:type="dxa" w:w="100"/>
            </w:tcMar>
            <w:vAlign w:val="center"/>
          </w:tcPr>
          <w:p>
            <w:pPr>
              <w:jc w:val="center"/>
            </w:pPr>
            <w:r>
              <w:rPr>
                <w:b w:val="false"/>
                <w:bCs w:val="false"/>
                <w:color w:val="000000"/>
                <w:sz w:val="16"/>
                <w:szCs w:val="16"/>
              </w:rPr>
              <w:t xml:space="preserve">443</w:t>
            </w:r>
          </w:p>
        </w:tc>
        <w:tc>
          <w:tcPr>
            <w:tcW w:type="dxa" w:w="2380"/>
            <w:tcMar>
              <w:top w:type="dxa" w:w="70"/>
              <w:left w:type="dxa" w:w="100"/>
              <w:bottom w:type="dxa" w:w="70"/>
              <w:right w:type="dxa" w:w="100"/>
            </w:tcMar>
            <w:vAlign w:val="center"/>
          </w:tcPr>
          <w:p>
            <w:pPr>
              <w:jc w:val="center"/>
            </w:pPr>
            <w:r>
              <w:rPr>
                <w:b w:val="false"/>
                <w:bCs w:val="false"/>
                <w:color w:val="000000"/>
                <w:sz w:val="16"/>
                <w:szCs w:val="16"/>
              </w:rPr>
              <w:t xml:space="preserve">Único punto de entrada público</w:t>
            </w:r>
          </w:p>
        </w:tc>
      </w:tr>
      <w:tr>
        <w:trPr>
          <w:cantSplit/>
        </w:trPr>
        <w:tc>
          <w:tcPr>
            <w:tcW w:type="dxa" w:w="18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Balanceador a aplicación</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Balanceador</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Subred 10.10.1.0/24</w:t>
            </w:r>
          </w:p>
        </w:tc>
        <w:tc>
          <w:tcPr>
            <w:tcW w:type="dxa" w:w="1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8000</w:t>
            </w:r>
          </w:p>
        </w:tc>
        <w:tc>
          <w:tcPr>
            <w:tcW w:type="dxa" w:w="23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Tráfico ya terminado en TLS</w:t>
            </w:r>
          </w:p>
        </w:tc>
      </w:tr>
      <w:tr>
        <w:trPr>
          <w:cantSplit/>
        </w:trPr>
        <w:tc>
          <w:tcPr>
            <w:tcW w:type="dxa" w:w="1800"/>
            <w:tcMar>
              <w:top w:type="dxa" w:w="70"/>
              <w:left w:type="dxa" w:w="100"/>
              <w:bottom w:type="dxa" w:w="70"/>
              <w:right w:type="dxa" w:w="100"/>
            </w:tcMar>
            <w:vAlign w:val="center"/>
          </w:tcPr>
          <w:p>
            <w:pPr>
              <w:jc w:val="left"/>
            </w:pPr>
            <w:r>
              <w:rPr>
                <w:b w:val="false"/>
                <w:bCs w:val="false"/>
                <w:color w:val="000000"/>
                <w:sz w:val="16"/>
                <w:szCs w:val="16"/>
              </w:rPr>
              <w:t xml:space="preserve">Aplicación a datos</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Subred 10.10.1.0/24</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Subred 10.10.2.0/24</w:t>
            </w:r>
          </w:p>
        </w:tc>
        <w:tc>
          <w:tcPr>
            <w:tcW w:type="dxa" w:w="1500"/>
            <w:tcMar>
              <w:top w:type="dxa" w:w="70"/>
              <w:left w:type="dxa" w:w="100"/>
              <w:bottom w:type="dxa" w:w="70"/>
              <w:right w:type="dxa" w:w="100"/>
            </w:tcMar>
            <w:vAlign w:val="center"/>
          </w:tcPr>
          <w:p>
            <w:pPr>
              <w:jc w:val="center"/>
            </w:pPr>
            <w:r>
              <w:rPr>
                <w:b w:val="false"/>
                <w:bCs w:val="false"/>
                <w:color w:val="000000"/>
                <w:sz w:val="16"/>
                <w:szCs w:val="16"/>
              </w:rPr>
              <w:t xml:space="preserve">5432</w:t>
            </w:r>
          </w:p>
        </w:tc>
        <w:tc>
          <w:tcPr>
            <w:tcW w:type="dxa" w:w="2380"/>
            <w:tcMar>
              <w:top w:type="dxa" w:w="70"/>
              <w:left w:type="dxa" w:w="100"/>
              <w:bottom w:type="dxa" w:w="70"/>
              <w:right w:type="dxa" w:w="100"/>
            </w:tcMar>
            <w:vAlign w:val="center"/>
          </w:tcPr>
          <w:p>
            <w:pPr>
              <w:jc w:val="center"/>
            </w:pPr>
            <w:r>
              <w:rPr>
                <w:b w:val="false"/>
                <w:bCs w:val="false"/>
                <w:color w:val="000000"/>
                <w:sz w:val="16"/>
                <w:szCs w:val="16"/>
              </w:rPr>
              <w:t xml:space="preserve">Acceso a PostgreSQL</w:t>
            </w:r>
          </w:p>
        </w:tc>
      </w:tr>
      <w:tr>
        <w:trPr>
          <w:cantSplit/>
        </w:trPr>
        <w:tc>
          <w:tcPr>
            <w:tcW w:type="dxa" w:w="18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Aplicación a caché</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Subred 10.10.1.0/24</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Subred 10.10.2.0/24</w:t>
            </w:r>
          </w:p>
        </w:tc>
        <w:tc>
          <w:tcPr>
            <w:tcW w:type="dxa" w:w="1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6379</w:t>
            </w:r>
          </w:p>
        </w:tc>
        <w:tc>
          <w:tcPr>
            <w:tcW w:type="dxa" w:w="23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Sesiones y caché</w:t>
            </w:r>
          </w:p>
        </w:tc>
      </w:tr>
      <w:tr>
        <w:trPr>
          <w:cantSplit/>
        </w:trPr>
        <w:tc>
          <w:tcPr>
            <w:tcW w:type="dxa" w:w="1800"/>
            <w:tcMar>
              <w:top w:type="dxa" w:w="70"/>
              <w:left w:type="dxa" w:w="100"/>
              <w:bottom w:type="dxa" w:w="70"/>
              <w:right w:type="dxa" w:w="100"/>
            </w:tcMar>
            <w:vAlign w:val="center"/>
          </w:tcPr>
          <w:p>
            <w:pPr>
              <w:jc w:val="left"/>
            </w:pPr>
            <w:r>
              <w:rPr>
                <w:b w:val="false"/>
                <w:bCs w:val="false"/>
                <w:color w:val="000000"/>
                <w:sz w:val="16"/>
                <w:szCs w:val="16"/>
              </w:rPr>
              <w:t xml:space="preserve">Administración</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Identity-Aware Proxy</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Ambas subredes</w:t>
            </w:r>
          </w:p>
        </w:tc>
        <w:tc>
          <w:tcPr>
            <w:tcW w:type="dxa" w:w="1500"/>
            <w:tcMar>
              <w:top w:type="dxa" w:w="70"/>
              <w:left w:type="dxa" w:w="100"/>
              <w:bottom w:type="dxa" w:w="70"/>
              <w:right w:type="dxa" w:w="100"/>
            </w:tcMar>
            <w:vAlign w:val="center"/>
          </w:tcPr>
          <w:p>
            <w:pPr>
              <w:jc w:val="center"/>
            </w:pPr>
            <w:r>
              <w:rPr>
                <w:b w:val="false"/>
                <w:bCs w:val="false"/>
                <w:color w:val="000000"/>
                <w:sz w:val="16"/>
                <w:szCs w:val="16"/>
              </w:rPr>
              <w:t xml:space="preserve">22</w:t>
            </w:r>
          </w:p>
        </w:tc>
        <w:tc>
          <w:tcPr>
            <w:tcW w:type="dxa" w:w="2380"/>
            <w:tcMar>
              <w:top w:type="dxa" w:w="70"/>
              <w:left w:type="dxa" w:w="100"/>
              <w:bottom w:type="dxa" w:w="70"/>
              <w:right w:type="dxa" w:w="100"/>
            </w:tcMar>
            <w:vAlign w:val="center"/>
          </w:tcPr>
          <w:p>
            <w:pPr>
              <w:jc w:val="center"/>
            </w:pPr>
            <w:r>
              <w:rPr>
                <w:b w:val="false"/>
                <w:bCs w:val="false"/>
                <w:color w:val="000000"/>
                <w:sz w:val="16"/>
                <w:szCs w:val="16"/>
              </w:rPr>
              <w:t xml:space="preserve">Acceso administrativo sin exponer SSH</w:t>
            </w:r>
          </w:p>
        </w:tc>
      </w:tr>
      <w:tr>
        <w:trPr>
          <w:cantSplit/>
        </w:trPr>
        <w:tc>
          <w:tcPr>
            <w:tcW w:type="dxa" w:w="1800"/>
            <w:shd w:fill="F2F2F2" w:val="clear"/>
            <w:tcMar>
              <w:top w:type="dxa" w:w="70"/>
              <w:left w:type="dxa" w:w="100"/>
              <w:bottom w:type="dxa" w:w="70"/>
              <w:right w:type="dxa" w:w="100"/>
            </w:tcMar>
            <w:vAlign w:val="center"/>
          </w:tcPr>
          <w:p>
            <w:pPr>
              <w:jc w:val="left"/>
            </w:pPr>
            <w:r>
              <w:rPr>
                <w:b/>
                <w:bCs/>
                <w:color w:val="000000"/>
                <w:sz w:val="16"/>
                <w:szCs w:val="16"/>
              </w:rPr>
              <w:t xml:space="preserve">Todo lo demás</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Cualquiera</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Cualquiera</w:t>
            </w:r>
          </w:p>
        </w:tc>
        <w:tc>
          <w:tcPr>
            <w:tcW w:type="dxa" w:w="1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Cualquiera</w:t>
            </w:r>
          </w:p>
        </w:tc>
        <w:tc>
          <w:tcPr>
            <w:tcW w:type="dxa" w:w="2380"/>
            <w:shd w:fill="F2F2F2" w:val="clear"/>
            <w:tcMar>
              <w:top w:type="dxa" w:w="70"/>
              <w:left w:type="dxa" w:w="100"/>
              <w:bottom w:type="dxa" w:w="70"/>
              <w:right w:type="dxa" w:w="100"/>
            </w:tcMar>
            <w:vAlign w:val="center"/>
          </w:tcPr>
          <w:p>
            <w:pPr>
              <w:jc w:val="left"/>
            </w:pPr>
            <w:r>
              <w:rPr>
                <w:b/>
                <w:bCs/>
                <w:color w:val="B00020"/>
                <w:sz w:val="16"/>
                <w:szCs w:val="16"/>
              </w:rPr>
              <w:t xml:space="preserve">Denegado por omisión</w:t>
            </w:r>
          </w:p>
        </w:tc>
      </w:tr>
    </w:tbl>
    <w:p>
      <w:pPr>
        <w:spacing w:after="160"/>
        <w:jc w:val="both"/>
      </w:pPr>
      <w:r>
        <w:rPr>
          <w:b/>
          <w:bCs/>
          <w:i w:val="false"/>
          <w:iCs w:val="false"/>
        </w:rPr>
        <w:t xml:space="preserve">Consecuencia práctica: </w:t>
      </w:r>
      <w:r>
        <w:rPr>
          <w:b w:val="false"/>
          <w:bCs w:val="false"/>
          <w:i w:val="false"/>
          <w:iCs w:val="false"/>
        </w:rPr>
        <w:t xml:space="preserve">si alguien obtuviera la contraseña de la base de datos, no podría usarla desde Internet. Tendría que estar dentro de la subred de aplicación. Esto convierte una credencial filtrada en un incidente contenido en lugar de una fuga de datos personales.</w:t>
      </w:r>
    </w:p>
    <w:p>
      <w:pPr>
        <w:pStyle w:val="Heading1"/>
        <w:spacing w:after="160" w:before="320"/>
      </w:pPr>
      <w:r>
        <w:t xml:space="preserve">9. Los tres ambientes</w:t>
      </w:r>
    </w:p>
    <w:p>
      <w:pPr>
        <w:spacing w:after="160"/>
        <w:jc w:val="both"/>
      </w:pPr>
      <w:r>
        <w:t xml:space="preserve">La rúbrica de evaluación exige que el proyecto se ejecute en los ambientes developer, staging y production. Los tres comparten las mismas imágenes de contenedor y se diferencian en infraestructura, datos y operación.</w:t>
      </w:r>
    </w:p>
    <w:p>
      <w:pPr>
        <w:spacing w:after="80" w:before="120"/>
        <w:jc w:val="center"/>
      </w:pPr>
      <w:r>
        <w:drawing>
          <wp:inline distT="0" distB="0" distL="0" distR="0">
            <wp:extent cx="5905500" cy="3343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43275"/>
                    </a:xfrm>
                    <a:prstGeom prst="rect">
                      <a:avLst/>
                    </a:prstGeom>
                  </pic:spPr>
                </pic:pic>
              </a:graphicData>
            </a:graphic>
          </wp:inline>
        </w:drawing>
      </w:r>
    </w:p>
    <w:p>
      <w:pPr>
        <w:spacing w:after="240"/>
        <w:jc w:val="center"/>
      </w:pPr>
      <w:r>
        <w:rPr>
          <w:i/>
          <w:iCs/>
          <w:color w:val="808080"/>
          <w:sz w:val="18"/>
          <w:szCs w:val="18"/>
        </w:rPr>
        <w:t xml:space="preserve">Figura 3. Comparación de los tres ambientes.</w:t>
      </w:r>
    </w:p>
    <w:p>
      <w:pPr>
        <w:pStyle w:val="Heading1"/>
        <w:spacing w:after="160" w:before="320"/>
      </w:pPr>
      <w:r>
        <w:t xml:space="preserve">10. Almacenamiento, respaldo y retención</w:t>
      </w:r>
    </w:p>
    <w:p>
      <w:pPr>
        <w:pStyle w:val="Heading2"/>
        <w:spacing w:after="120" w:before="240"/>
      </w:pPr>
      <w:r>
        <w:t xml:space="preserve">10.1 Estrategia de respaldo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0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Elemento</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Frecuencia</w:t>
            </w:r>
          </w:p>
        </w:tc>
        <w:tc>
          <w:tcPr>
            <w:tcW w:type="dxa" w:w="2000"/>
            <w:shd w:fill="1F3864" w:val="clear"/>
            <w:tcMar>
              <w:top w:type="dxa" w:w="70"/>
              <w:left w:type="dxa" w:w="100"/>
              <w:bottom w:type="dxa" w:w="70"/>
              <w:right w:type="dxa" w:w="100"/>
            </w:tcMar>
            <w:vAlign w:val="center"/>
          </w:tcPr>
          <w:p>
            <w:pPr>
              <w:jc w:val="center"/>
            </w:pPr>
            <w:r>
              <w:rPr>
                <w:b/>
                <w:bCs/>
                <w:color w:val="FFFFFF"/>
                <w:sz w:val="17"/>
                <w:szCs w:val="17"/>
              </w:rPr>
              <w:t xml:space="preserve">Retención</w:t>
            </w:r>
          </w:p>
        </w:tc>
        <w:tc>
          <w:tcPr>
            <w:tcW w:type="dxa" w:w="2080"/>
            <w:shd w:fill="1F3864" w:val="clear"/>
            <w:tcMar>
              <w:top w:type="dxa" w:w="70"/>
              <w:left w:type="dxa" w:w="100"/>
              <w:bottom w:type="dxa" w:w="70"/>
              <w:right w:type="dxa" w:w="100"/>
            </w:tcMar>
            <w:vAlign w:val="center"/>
          </w:tcPr>
          <w:p>
            <w:pPr>
              <w:jc w:val="center"/>
            </w:pPr>
            <w:r>
              <w:rPr>
                <w:b/>
                <w:bCs/>
                <w:color w:val="FFFFFF"/>
                <w:sz w:val="17"/>
                <w:szCs w:val="17"/>
              </w:rPr>
              <w:t xml:space="preserve">Mecanismo</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Base de datos completa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Diaria</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7 días</w:t>
            </w:r>
          </w:p>
        </w:tc>
        <w:tc>
          <w:tcPr>
            <w:tcW w:type="dxa" w:w="2080"/>
            <w:tcMar>
              <w:top w:type="dxa" w:w="70"/>
              <w:left w:type="dxa" w:w="100"/>
              <w:bottom w:type="dxa" w:w="70"/>
              <w:right w:type="dxa" w:w="100"/>
            </w:tcMar>
            <w:vAlign w:val="center"/>
          </w:tcPr>
          <w:p>
            <w:pPr>
              <w:jc w:val="center"/>
            </w:pPr>
            <w:r>
              <w:rPr>
                <w:b w:val="false"/>
                <w:bCs w:val="false"/>
                <w:color w:val="000000"/>
                <w:sz w:val="16"/>
                <w:szCs w:val="16"/>
              </w:rPr>
              <w:t xml:space="preserve">Instantánea del disco persistente</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Registro de transacciones</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Continuo</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7 días</w:t>
            </w:r>
          </w:p>
        </w:tc>
        <w:tc>
          <w:tcPr>
            <w:tcW w:type="dxa" w:w="2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Archivado para recuperación a un punto en el tiempo</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Objetos en almacenamiento</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Versionado</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30 días</w:t>
            </w:r>
          </w:p>
        </w:tc>
        <w:tc>
          <w:tcPr>
            <w:tcW w:type="dxa" w:w="2080"/>
            <w:tcMar>
              <w:top w:type="dxa" w:w="70"/>
              <w:left w:type="dxa" w:w="100"/>
              <w:bottom w:type="dxa" w:w="70"/>
              <w:right w:type="dxa" w:w="100"/>
            </w:tcMar>
            <w:vAlign w:val="center"/>
          </w:tcPr>
          <w:p>
            <w:pPr>
              <w:jc w:val="center"/>
            </w:pPr>
            <w:r>
              <w:rPr>
                <w:b w:val="false"/>
                <w:bCs w:val="false"/>
                <w:color w:val="000000"/>
                <w:sz w:val="16"/>
                <w:szCs w:val="16"/>
              </w:rPr>
              <w:t xml:space="preserve">Versionado del bucket</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Configuración de infraestructura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Por cambio</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Histórico completo</w:t>
            </w:r>
          </w:p>
        </w:tc>
        <w:tc>
          <w:tcPr>
            <w:tcW w:type="dxa" w:w="2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Versionada en el repositorio</w:t>
            </w:r>
          </w:p>
        </w:tc>
      </w:tr>
    </w:tbl>
    <w:p>
      <w:pPr>
        <w:spacing w:after="160"/>
        <w:jc w:val="both"/>
      </w:pPr>
      <w:r>
        <w:t xml:space="preserve">El respaldo diario con registro continuo permite recuperar el sistema a cualquier momento dentro de la ventana de siete días. Con una base de 12 MB, la restauración completa toma segundos, no horas.</w:t>
      </w:r>
    </w:p>
    <w:p>
      <w:pPr>
        <w:pStyle w:val="Heading2"/>
        <w:spacing w:after="120" w:before="240"/>
      </w:pPr>
      <w:r>
        <w:t xml:space="preserve">10.2 Objetivos de recuperación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Objetivo</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Valor</w:t>
            </w:r>
          </w:p>
        </w:tc>
        <w:tc>
          <w:tcPr>
            <w:tcW w:type="dxa" w:w="3280"/>
            <w:shd w:fill="1F3864" w:val="clear"/>
            <w:tcMar>
              <w:top w:type="dxa" w:w="70"/>
              <w:left w:type="dxa" w:w="100"/>
              <w:bottom w:type="dxa" w:w="70"/>
              <w:right w:type="dxa" w:w="100"/>
            </w:tcMar>
            <w:vAlign w:val="center"/>
          </w:tcPr>
          <w:p>
            <w:pPr>
              <w:jc w:val="center"/>
            </w:pPr>
            <w:r>
              <w:rPr>
                <w:b/>
                <w:bCs/>
                <w:color w:val="FFFFFF"/>
                <w:sz w:val="17"/>
                <w:szCs w:val="17"/>
              </w:rPr>
              <w:t xml:space="preserve">Fundamento</w:t>
            </w:r>
          </w:p>
        </w:tc>
      </w:tr>
      <w:tr>
        <w:trPr>
          <w:cantSplit/>
        </w:trP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Tiempo objetivo de recuperación</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2 horas</w:t>
            </w:r>
          </w:p>
        </w:tc>
        <w:tc>
          <w:tcPr>
            <w:tcW w:type="dxa" w:w="3280"/>
            <w:tcMar>
              <w:top w:type="dxa" w:w="70"/>
              <w:left w:type="dxa" w:w="100"/>
              <w:bottom w:type="dxa" w:w="70"/>
              <w:right w:type="dxa" w:w="100"/>
            </w:tcMar>
            <w:vAlign w:val="center"/>
          </w:tcPr>
          <w:p>
            <w:pPr>
              <w:jc w:val="center"/>
            </w:pPr>
            <w:r>
              <w:rPr>
                <w:b w:val="false"/>
                <w:bCs w:val="false"/>
                <w:color w:val="000000"/>
                <w:sz w:val="16"/>
                <w:szCs w:val="16"/>
              </w:rPr>
              <w:t xml:space="preserve">Recrear la máquina desde imagen y restaurar la instantánea</w:t>
            </w:r>
          </w:p>
        </w:tc>
      </w:tr>
      <w:tr>
        <w:trPr>
          <w:cantSplit/>
        </w:trP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Punto objetivo de recuperación</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 minutos</w:t>
            </w:r>
          </w:p>
        </w:tc>
        <w:tc>
          <w:tcPr>
            <w:tcW w:type="dxa" w:w="3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Límite del archivado continuo del registro de transacciones</w:t>
            </w:r>
          </w:p>
        </w:tc>
      </w:tr>
    </w:tbl>
    <w:p>
      <w:pPr>
        <w:pStyle w:val="Heading2"/>
        <w:spacing w:after="120" w:before="240"/>
      </w:pPr>
      <w:r>
        <w:t xml:space="preserve">10.3 Retención de datos</w:t>
      </w:r>
    </w:p>
    <w:p>
      <w:pPr>
        <w:spacing w:after="160"/>
        <w:jc w:val="both"/>
      </w:pPr>
      <w:r>
        <w:t xml:space="preserve">La política de retención no es una decisión de infraestructura sino una obligación declarada en el aviso de privacidad, y el hardware debe sostenerla: veinticuatro meses para las respuestas de autoreporte y cinco años para la evidencia de consentimiento. El dimensionamiento de disco de la sección 5 ya contempla ese horizonte.</w:t>
      </w:r>
    </w:p>
    <w:p>
      <w:pPr>
        <w:pStyle w:val="Heading1"/>
        <w:spacing w:after="160" w:before="320"/>
      </w:pPr>
      <w:r>
        <w:t xml:space="preserve">11. Disponibilidad y tolerancia a fallos</w:t>
      </w:r>
    </w:p>
    <w:p>
      <w:pPr>
        <w:pStyle w:val="Heading2"/>
        <w:spacing w:after="120" w:before="240"/>
      </w:pPr>
      <w:r>
        <w:t xml:space="preserve">11.1 Análisis por componente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80"/>
      </w:tblGrid>
      <w:tr>
        <w:trPr>
          <w:tblHeader/>
        </w:trPr>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Componente</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Si falla</w:t>
            </w:r>
          </w:p>
        </w:tc>
        <w:tc>
          <w:tcPr>
            <w:tcW w:type="dxa" w:w="4480"/>
            <w:shd w:fill="1F3864" w:val="clear"/>
            <w:tcMar>
              <w:top w:type="dxa" w:w="70"/>
              <w:left w:type="dxa" w:w="100"/>
              <w:bottom w:type="dxa" w:w="70"/>
              <w:right w:type="dxa" w:w="100"/>
            </w:tcMar>
            <w:vAlign w:val="center"/>
          </w:tcPr>
          <w:p>
            <w:pPr>
              <w:jc w:val="center"/>
            </w:pPr>
            <w:r>
              <w:rPr>
                <w:b/>
                <w:bCs/>
                <w:color w:val="FFFFFF"/>
                <w:sz w:val="17"/>
                <w:szCs w:val="17"/>
              </w:rPr>
              <w:t xml:space="preserve">Efecto sobre el servicio</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Balanceador</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Gestionado</w:t>
            </w:r>
          </w:p>
        </w:tc>
        <w:tc>
          <w:tcPr>
            <w:tcW w:type="dxa" w:w="4480"/>
            <w:tcMar>
              <w:top w:type="dxa" w:w="70"/>
              <w:left w:type="dxa" w:w="100"/>
              <w:bottom w:type="dxa" w:w="70"/>
              <w:right w:type="dxa" w:w="100"/>
            </w:tcMar>
            <w:vAlign w:val="center"/>
          </w:tcPr>
          <w:p>
            <w:pPr>
              <w:jc w:val="center"/>
            </w:pPr>
            <w:r>
              <w:rPr>
                <w:b w:val="false"/>
                <w:bCs w:val="false"/>
                <w:color w:val="000000"/>
                <w:sz w:val="16"/>
                <w:szCs w:val="16"/>
              </w:rPr>
              <w:t xml:space="preserve">Redundancia provista por la plataforma; sin acción del equipo</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VM de aplicación</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4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Interrupción hasta reinicio automático; se elimina al agregar una segunda instancia</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VM de datos</w:t>
            </w:r>
          </w:p>
        </w:tc>
        <w:tc>
          <w:tcPr>
            <w:tcW w:type="dxa" w:w="2200"/>
            <w:tcMar>
              <w:top w:type="dxa" w:w="70"/>
              <w:left w:type="dxa" w:w="100"/>
              <w:bottom w:type="dxa" w:w="70"/>
              <w:right w:type="dxa" w:w="100"/>
            </w:tcMar>
            <w:vAlign w:val="center"/>
          </w:tcPr>
          <w:p>
            <w:pPr>
              <w:jc w:val="left"/>
            </w:pPr>
            <w:r>
              <w:rPr>
                <w:b w:val="false"/>
                <w:bCs w:val="false"/>
                <w:color w:val="B00020"/>
                <w:sz w:val="16"/>
                <w:szCs w:val="16"/>
              </w:rPr>
              <w:t xml:space="preserve">Indisponible</w:t>
            </w:r>
          </w:p>
        </w:tc>
        <w:tc>
          <w:tcPr>
            <w:tcW w:type="dxa" w:w="4480"/>
            <w:tcMar>
              <w:top w:type="dxa" w:w="70"/>
              <w:left w:type="dxa" w:w="100"/>
              <w:bottom w:type="dxa" w:w="70"/>
              <w:right w:type="dxa" w:w="100"/>
            </w:tcMar>
            <w:vAlign w:val="center"/>
          </w:tcPr>
          <w:p>
            <w:pPr>
              <w:jc w:val="left"/>
            </w:pPr>
            <w:r>
              <w:rPr>
                <w:b w:val="false"/>
                <w:bCs w:val="false"/>
                <w:color w:val="B00020"/>
                <w:sz w:val="16"/>
                <w:szCs w:val="16"/>
              </w:rPr>
              <w:t xml:space="preserve">Interrupción total del servicio. Es el punto único de falla de esta etapa.</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Redis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4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 pierden sesiones activas; las personas vuelven a iniciar sesión y las consultas van directo a la base</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Almacenamiento de objetos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Gestionado</w:t>
            </w:r>
          </w:p>
        </w:tc>
        <w:tc>
          <w:tcPr>
            <w:tcW w:type="dxa" w:w="4480"/>
            <w:tcMar>
              <w:top w:type="dxa" w:w="70"/>
              <w:left w:type="dxa" w:w="100"/>
              <w:bottom w:type="dxa" w:w="70"/>
              <w:right w:type="dxa" w:w="100"/>
            </w:tcMar>
            <w:vAlign w:val="center"/>
          </w:tcPr>
          <w:p>
            <w:pPr>
              <w:jc w:val="center"/>
            </w:pPr>
            <w:r>
              <w:rPr>
                <w:b w:val="false"/>
                <w:bCs w:val="false"/>
                <w:color w:val="000000"/>
                <w:sz w:val="16"/>
                <w:szCs w:val="16"/>
              </w:rPr>
              <w:t xml:space="preserve">Redundancia provista por la plataforma</w:t>
            </w:r>
          </w:p>
        </w:tc>
      </w:tr>
    </w:tbl>
    <w:p>
      <w:pPr>
        <w:spacing w:after="160"/>
        <w:jc w:val="both"/>
      </w:pPr>
      <w:r>
        <w:rPr>
          <w:b/>
          <w:bCs/>
          <w:i w:val="false"/>
          <w:iCs w:val="false"/>
        </w:rPr>
        <w:t xml:space="preserve">Riesgo aceptado de forma consciente: </w:t>
      </w:r>
      <w:r>
        <w:rPr>
          <w:b w:val="false"/>
          <w:bCs w:val="false"/>
          <w:i w:val="false"/>
          <w:iCs w:val="false"/>
        </w:rPr>
        <w:t xml:space="preserve">la máquina de datos concentra identidad, consentimiento y respuestas, y su indisponibilidad detiene el servicio. Para un sistema de encuestas trimestrales con una ventana de aplicación de cinco días, una interrupción de dos horas es tolerable frente al costo de mantener una réplica activa todo el año. La mitigación está planificada para el tercer parcial.</w:t>
      </w:r>
    </w:p>
    <w:p>
      <w:pPr>
        <w:pStyle w:val="Heading2"/>
        <w:spacing w:after="120" w:before="240"/>
      </w:pPr>
      <w:r>
        <w:t xml:space="preserve">11.2 Ruta de mejora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80"/>
      </w:tblGrid>
      <w:tr>
        <w:trPr>
          <w:tblHeader/>
        </w:trPr>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Etapa</w:t>
            </w:r>
          </w:p>
        </w:tc>
        <w:tc>
          <w:tcPr>
            <w:tcW w:type="dxa" w:w="3200"/>
            <w:shd w:fill="1F3864" w:val="clear"/>
            <w:tcMar>
              <w:top w:type="dxa" w:w="70"/>
              <w:left w:type="dxa" w:w="100"/>
              <w:bottom w:type="dxa" w:w="70"/>
              <w:right w:type="dxa" w:w="100"/>
            </w:tcMar>
            <w:vAlign w:val="center"/>
          </w:tcPr>
          <w:p>
            <w:pPr>
              <w:jc w:val="center"/>
            </w:pPr>
            <w:r>
              <w:rPr>
                <w:b/>
                <w:bCs/>
                <w:color w:val="FFFFFF"/>
                <w:sz w:val="17"/>
                <w:szCs w:val="17"/>
              </w:rPr>
              <w:t xml:space="preserve">Medida</w:t>
            </w:r>
          </w:p>
        </w:tc>
        <w:tc>
          <w:tcPr>
            <w:tcW w:type="dxa" w:w="3480"/>
            <w:shd w:fill="1F3864" w:val="clear"/>
            <w:tcMar>
              <w:top w:type="dxa" w:w="70"/>
              <w:left w:type="dxa" w:w="100"/>
              <w:bottom w:type="dxa" w:w="70"/>
              <w:right w:type="dxa" w:w="100"/>
            </w:tcMar>
            <w:vAlign w:val="center"/>
          </w:tcPr>
          <w:p>
            <w:pPr>
              <w:jc w:val="center"/>
            </w:pPr>
            <w:r>
              <w:rPr>
                <w:b/>
                <w:bCs/>
                <w:color w:val="FFFFFF"/>
                <w:sz w:val="17"/>
                <w:szCs w:val="17"/>
              </w:rPr>
              <w:t xml:space="preserve">Qué resuelve</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Segundo parcial</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Respaldo automático con recuperación a punto en el tiempo</w:t>
            </w:r>
          </w:p>
        </w:tc>
        <w:tc>
          <w:tcPr>
            <w:tcW w:type="dxa" w:w="3480"/>
            <w:tcMar>
              <w:top w:type="dxa" w:w="70"/>
              <w:left w:type="dxa" w:w="100"/>
              <w:bottom w:type="dxa" w:w="70"/>
              <w:right w:type="dxa" w:w="100"/>
            </w:tcMar>
            <w:vAlign w:val="center"/>
          </w:tcPr>
          <w:p>
            <w:pPr>
              <w:jc w:val="center"/>
            </w:pPr>
            <w:r>
              <w:rPr>
                <w:b w:val="false"/>
                <w:bCs w:val="false"/>
                <w:color w:val="000000"/>
                <w:sz w:val="16"/>
                <w:szCs w:val="16"/>
              </w:rPr>
              <w:t xml:space="preserve">Reduce la pérdida de datos a cinco minutos</w:t>
            </w:r>
          </w:p>
        </w:tc>
      </w:tr>
      <w:tr>
        <w:trPr>
          <w:cantSplit/>
        </w:trP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Tercer parcial</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Réplica de lectura</w:t>
            </w:r>
          </w:p>
        </w:tc>
        <w:tc>
          <w:tcPr>
            <w:tcW w:type="dxa" w:w="3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Absorbe consultas de tablero y sirve de respaldo caliente</w:t>
            </w:r>
          </w:p>
        </w:tc>
      </w:tr>
      <w:tr>
        <w:trPr>
          <w:cantSplit/>
        </w:trP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Entrega final</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Segunda instancia de aplicación</w:t>
            </w:r>
          </w:p>
        </w:tc>
        <w:tc>
          <w:tcPr>
            <w:tcW w:type="dxa" w:w="3480"/>
            <w:tcMar>
              <w:top w:type="dxa" w:w="70"/>
              <w:left w:type="dxa" w:w="100"/>
              <w:bottom w:type="dxa" w:w="70"/>
              <w:right w:type="dxa" w:w="100"/>
            </w:tcMar>
            <w:vAlign w:val="center"/>
          </w:tcPr>
          <w:p>
            <w:pPr>
              <w:jc w:val="center"/>
            </w:pPr>
            <w:r>
              <w:rPr>
                <w:b w:val="false"/>
                <w:bCs w:val="false"/>
                <w:color w:val="000000"/>
                <w:sz w:val="16"/>
                <w:szCs w:val="16"/>
              </w:rPr>
              <w:t xml:space="preserve">Elimina el punto único de falla de la capa web</w:t>
            </w:r>
          </w:p>
        </w:tc>
      </w:tr>
    </w:tbl>
    <w:p>
      <w:pPr>
        <w:pStyle w:val="Heading1"/>
        <w:spacing w:after="160" w:before="320"/>
      </w:pPr>
      <w:r>
        <w:t xml:space="preserve">12. Cuándo escalar</w:t>
      </w:r>
    </w:p>
    <w:p>
      <w:pPr>
        <w:spacing w:after="160"/>
        <w:jc w:val="both"/>
      </w:pPr>
      <w:r>
        <w:t xml:space="preserve">Escalar sin un disparador definido es adivinar. Cada umbral de esta tabla proviene de una medición de la sección 3, de modo que el equipo puede reconocer el momento en lugar de estimarlo.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8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Señal observada</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Umbral</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Acción</w:t>
            </w:r>
          </w:p>
        </w:tc>
        <w:tc>
          <w:tcPr>
            <w:tcW w:type="dxa" w:w="1880"/>
            <w:shd w:fill="1F3864" w:val="clear"/>
            <w:tcMar>
              <w:top w:type="dxa" w:w="70"/>
              <w:left w:type="dxa" w:w="100"/>
              <w:bottom w:type="dxa" w:w="70"/>
              <w:right w:type="dxa" w:w="100"/>
            </w:tcMar>
            <w:vAlign w:val="center"/>
          </w:tcPr>
          <w:p>
            <w:pPr>
              <w:jc w:val="center"/>
            </w:pPr>
            <w:r>
              <w:rPr>
                <w:b/>
                <w:bCs/>
                <w:color w:val="FFFFFF"/>
                <w:sz w:val="17"/>
                <w:szCs w:val="17"/>
              </w:rPr>
              <w:t xml:space="preserve">Origen del umbral</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Peticiones simultáneas sostenidas</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Más de 25</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Agregar segunda VM de aplicación</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Saturación medida en 117 peticiones/s</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Latencia p95 de agregado</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Más de 300 ms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Activar precálculo al cerrar campaña</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Objetivo de nivel de servicio</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Memoria usada en VM de datos</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Más del 70 %</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Subir a e2-standard-2</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Evitar memoria de intercambio</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Uso de disco</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Más del 70 %</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Ampliar disco persistente</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Ampliación sin detener el servicio</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Unidades organizacionales</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Más de 50</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Precalcular agregados por lote</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Techo de consultas por presupuesto</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Eventos en bitácora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Más de 10 millones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Particionar por rango de fecha</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Tamaño de índice manejable</w:t>
            </w:r>
          </w:p>
        </w:tc>
      </w:tr>
    </w:tbl>
    <w:p>
      <w:pPr>
        <w:spacing w:after="160"/>
        <w:jc w:val="both"/>
      </w:pPr>
      <w:r>
        <w:rPr>
          <w:b/>
          <w:bCs/>
          <w:i w:val="false"/>
          <w:iCs w:val="false"/>
        </w:rPr>
        <w:t xml:space="preserve">Orden de intervención: </w:t>
      </w:r>
      <w:r>
        <w:rPr>
          <w:b w:val="false"/>
          <w:bCs w:val="false"/>
          <w:i w:val="false"/>
          <w:iCs w:val="false"/>
        </w:rPr>
        <w:t xml:space="preserve">aumentar los recursos de una instancia antes que multiplicar instancias. Las mediciones muestran margen suficiente para que el crecimiento previsible de la organización se atienda con escalamiento vertical, que no introduce los problemas de coordinación de estado que trae el horizontal.</w:t>
      </w:r>
    </w:p>
    <w:p>
      <w:pPr>
        <w:pStyle w:val="Heading1"/>
        <w:spacing w:after="160" w:before="320"/>
      </w:pPr>
      <w:r>
        <w:t xml:space="preserve">13. Seguridad de la infraestructura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Control</w:t>
            </w:r>
          </w:p>
        </w:tc>
        <w:tc>
          <w:tcPr>
            <w:tcW w:type="dxa" w:w="6480"/>
            <w:shd w:fill="1F3864" w:val="clear"/>
            <w:tcMar>
              <w:top w:type="dxa" w:w="70"/>
              <w:left w:type="dxa" w:w="100"/>
              <w:bottom w:type="dxa" w:w="70"/>
              <w:right w:type="dxa" w:w="100"/>
            </w:tcMar>
            <w:vAlign w:val="center"/>
          </w:tcPr>
          <w:p>
            <w:pPr>
              <w:jc w:val="center"/>
            </w:pPr>
            <w:r>
              <w:rPr>
                <w:b/>
                <w:bCs/>
                <w:color w:val="FFFFFF"/>
                <w:sz w:val="17"/>
                <w:szCs w:val="17"/>
              </w:rPr>
              <w:t xml:space="preserve">Implementación</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Aislamiento de red</w:t>
            </w:r>
          </w:p>
        </w:tc>
        <w:tc>
          <w:tcPr>
            <w:tcW w:type="dxa" w:w="6480"/>
            <w:tcMar>
              <w:top w:type="dxa" w:w="70"/>
              <w:left w:type="dxa" w:w="100"/>
              <w:bottom w:type="dxa" w:w="70"/>
              <w:right w:type="dxa" w:w="100"/>
            </w:tcMar>
            <w:vAlign w:val="center"/>
          </w:tcPr>
          <w:p>
            <w:pPr>
              <w:jc w:val="center"/>
            </w:pPr>
            <w:r>
              <w:rPr>
                <w:b w:val="false"/>
                <w:bCs w:val="false"/>
                <w:color w:val="000000"/>
                <w:sz w:val="16"/>
                <w:szCs w:val="16"/>
              </w:rPr>
              <w:t xml:space="preserve">Los datos viven en una subred sin dirección pública ni ruta de salida a Internet</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Cifrado en tránsito</w:t>
            </w:r>
          </w:p>
        </w:tc>
        <w:tc>
          <w:tcPr>
            <w:tcW w:type="dxa" w:w="6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TLS terminado en el balanceador; tráfico interno por red privada del proyecto</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Cifrado en reposo</w:t>
            </w:r>
          </w:p>
        </w:tc>
        <w:tc>
          <w:tcPr>
            <w:tcW w:type="dxa" w:w="6480"/>
            <w:tcMar>
              <w:top w:type="dxa" w:w="70"/>
              <w:left w:type="dxa" w:w="100"/>
              <w:bottom w:type="dxa" w:w="70"/>
              <w:right w:type="dxa" w:w="100"/>
            </w:tcMar>
            <w:vAlign w:val="center"/>
          </w:tcPr>
          <w:p>
            <w:pPr>
              <w:jc w:val="center"/>
            </w:pPr>
            <w:r>
              <w:rPr>
                <w:b w:val="false"/>
                <w:bCs w:val="false"/>
                <w:color w:val="000000"/>
                <w:sz w:val="16"/>
                <w:szCs w:val="16"/>
              </w:rPr>
              <w:t xml:space="preserve">Discos persistentes y almacenamiento de objetos cifrados por la plataforma</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Gestión de secretos</w:t>
            </w:r>
          </w:p>
        </w:tc>
        <w:tc>
          <w:tcPr>
            <w:tcW w:type="dxa" w:w="6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Secret Manager; ninguna credencial en el repositorio ni en la imagen del contenedor</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Acceso administrativo</w:t>
            </w:r>
          </w:p>
        </w:tc>
        <w:tc>
          <w:tcPr>
            <w:tcW w:type="dxa" w:w="6480"/>
            <w:tcMar>
              <w:top w:type="dxa" w:w="70"/>
              <w:left w:type="dxa" w:w="100"/>
              <w:bottom w:type="dxa" w:w="70"/>
              <w:right w:type="dxa" w:w="100"/>
            </w:tcMar>
            <w:vAlign w:val="center"/>
          </w:tcPr>
          <w:p>
            <w:pPr>
              <w:jc w:val="center"/>
            </w:pPr>
            <w:r>
              <w:rPr>
                <w:b w:val="false"/>
                <w:bCs w:val="false"/>
                <w:color w:val="000000"/>
                <w:sz w:val="16"/>
                <w:szCs w:val="16"/>
              </w:rPr>
              <w:t xml:space="preserve">Identity-Aware Proxy en lugar de SSH expuesto; sin llaves compartidas entre integrantes</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Principio de menor privilegio</w:t>
            </w:r>
          </w:p>
        </w:tc>
        <w:tc>
          <w:tcPr>
            <w:tcW w:type="dxa" w:w="6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Cada máquina opera con una cuenta de servicio que solo puede lo que necesita</w:t>
            </w:r>
          </w:p>
        </w:tc>
      </w:tr>
      <w:tr>
        <w:trPr>
          <w:cantSplit/>
        </w:trP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Objetos privados</w:t>
            </w:r>
          </w:p>
        </w:tc>
        <w:tc>
          <w:tcPr>
            <w:tcW w:type="dxa" w:w="6480"/>
            <w:tcMar>
              <w:top w:type="dxa" w:w="70"/>
              <w:left w:type="dxa" w:w="100"/>
              <w:bottom w:type="dxa" w:w="70"/>
              <w:right w:type="dxa" w:w="100"/>
            </w:tcMar>
            <w:vAlign w:val="center"/>
          </w:tcPr>
          <w:p>
            <w:pPr>
              <w:jc w:val="center"/>
            </w:pPr>
            <w:r>
              <w:rPr>
                <w:b w:val="false"/>
                <w:bCs w:val="false"/>
                <w:color w:val="000000"/>
                <w:sz w:val="16"/>
                <w:szCs w:val="16"/>
              </w:rPr>
              <w:t xml:space="preserve">Las evidencias se sirven con URLs firmadas de vigencia limitada, nunca con acceso público</w:t>
            </w:r>
          </w:p>
        </w:tc>
      </w:tr>
      <w:tr>
        <w:trPr>
          <w:cantSplit/>
        </w:trP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Registro de infraestructura</w:t>
            </w:r>
          </w:p>
        </w:tc>
        <w:tc>
          <w:tcPr>
            <w:tcW w:type="dxa" w:w="6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Cloud Logging conserva los accesos administrativos, separado de la bitácora de la aplicación</w:t>
            </w:r>
          </w:p>
        </w:tc>
      </w:tr>
    </w:tbl>
    <w:p>
      <w:pPr>
        <w:spacing w:after="160"/>
        <w:jc w:val="both"/>
      </w:pPr>
      <w:r>
        <w:t xml:space="preserve">Estos controles son de infraestructura y se suman a los de la aplicación —hash de contraseñas, JWT de corta duración, revocación mediante Redis, control de acceso por perfil— descritos en el documento de estrategia de seguridad.</w:t>
      </w:r>
    </w:p>
    <w:p>
      <w:pPr>
        <w:pStyle w:val="Heading1"/>
        <w:spacing w:after="160" w:before="320"/>
      </w:pPr>
      <w:r>
        <w:t xml:space="preserve">14. Consideraciones económicas</w:t>
      </w:r>
    </w:p>
    <w:p>
      <w:pPr>
        <w:spacing w:after="160"/>
        <w:jc w:val="both"/>
      </w:pPr>
      <w:r>
        <w:t xml:space="preserve">El costo de la infraestructura propuesta depende de la región, del tipo de compromiso de uso y de los precios vigentes, que cambian con frecuencia. Por esa razón este documento no fija cifras: indica qué se debe costear y cómo reducirlo.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Concepto</w:t>
            </w:r>
          </w:p>
        </w:tc>
        <w:tc>
          <w:tcPr>
            <w:tcW w:type="dxa" w:w="6080"/>
            <w:shd w:fill="1F3864" w:val="clear"/>
            <w:tcMar>
              <w:top w:type="dxa" w:w="70"/>
              <w:left w:type="dxa" w:w="100"/>
              <w:bottom w:type="dxa" w:w="70"/>
              <w:right w:type="dxa" w:w="100"/>
            </w:tcMar>
            <w:vAlign w:val="center"/>
          </w:tcPr>
          <w:p>
            <w:pPr>
              <w:jc w:val="center"/>
            </w:pPr>
            <w:r>
              <w:rPr>
                <w:b/>
                <w:bCs/>
                <w:color w:val="FFFFFF"/>
                <w:sz w:val="17"/>
                <w:szCs w:val="17"/>
              </w:rPr>
              <w:t xml:space="preserve">Consideración</w:t>
            </w:r>
          </w:p>
        </w:tc>
      </w:tr>
      <w:tr>
        <w:trPr>
          <w:cantSplit/>
        </w:trP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Cómputo</w:t>
            </w:r>
          </w:p>
        </w:tc>
        <w:tc>
          <w:tcPr>
            <w:tcW w:type="dxa" w:w="6080"/>
            <w:tcMar>
              <w:top w:type="dxa" w:w="70"/>
              <w:left w:type="dxa" w:w="100"/>
              <w:bottom w:type="dxa" w:w="70"/>
              <w:right w:type="dxa" w:w="100"/>
            </w:tcMar>
            <w:vAlign w:val="center"/>
          </w:tcPr>
          <w:p>
            <w:pPr>
              <w:jc w:val="center"/>
            </w:pPr>
            <w:r>
              <w:rPr>
                <w:b w:val="false"/>
                <w:bCs w:val="false"/>
                <w:color w:val="000000"/>
                <w:sz w:val="16"/>
                <w:szCs w:val="16"/>
              </w:rPr>
              <w:t xml:space="preserve">Dos instancias de la familia e2, que es la de menor costo para cargas de uso general</w:t>
            </w:r>
          </w:p>
        </w:tc>
      </w:tr>
      <w:tr>
        <w:trPr>
          <w:cantSplit/>
        </w:trP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Almacenamiento</w:t>
            </w:r>
          </w:p>
        </w:tc>
        <w:tc>
          <w:tcPr>
            <w:tcW w:type="dxa" w:w="6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40 GB de disco persistente en total, un volumen mínimo</w:t>
            </w:r>
          </w:p>
        </w:tc>
      </w:tr>
      <w:tr>
        <w:trPr>
          <w:cantSplit/>
        </w:trP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Redis gestionado</w:t>
            </w:r>
          </w:p>
        </w:tc>
        <w:tc>
          <w:tcPr>
            <w:tcW w:type="dxa" w:w="6080"/>
            <w:tcMar>
              <w:top w:type="dxa" w:w="70"/>
              <w:left w:type="dxa" w:w="100"/>
              <w:bottom w:type="dxa" w:w="70"/>
              <w:right w:type="dxa" w:w="100"/>
            </w:tcMar>
            <w:vAlign w:val="center"/>
          </w:tcPr>
          <w:p>
            <w:pPr>
              <w:jc w:val="center"/>
            </w:pPr>
            <w:r>
              <w:rPr>
                <w:b w:val="false"/>
                <w:bCs w:val="false"/>
                <w:color w:val="000000"/>
                <w:sz w:val="16"/>
                <w:szCs w:val="16"/>
              </w:rPr>
              <w:t xml:space="preserve">La instancia más pequeña disponible, 1 GB</w:t>
            </w:r>
          </w:p>
        </w:tc>
      </w:tr>
      <w:tr>
        <w:trPr>
          <w:cantSplit/>
        </w:trP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Balanceador</w:t>
            </w:r>
          </w:p>
        </w:tc>
        <w:tc>
          <w:tcPr>
            <w:tcW w:type="dxa" w:w="6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Cargo por regla de reenvío más tráfico procesado</w:t>
            </w:r>
          </w:p>
        </w:tc>
      </w:tr>
      <w:tr>
        <w:trPr>
          <w:cantSplit/>
        </w:trP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Tráfico de salida</w:t>
            </w:r>
          </w:p>
        </w:tc>
        <w:tc>
          <w:tcPr>
            <w:tcW w:type="dxa" w:w="6080"/>
            <w:tcMar>
              <w:top w:type="dxa" w:w="70"/>
              <w:left w:type="dxa" w:w="100"/>
              <w:bottom w:type="dxa" w:w="70"/>
              <w:right w:type="dxa" w:w="100"/>
            </w:tcMar>
            <w:vAlign w:val="center"/>
          </w:tcPr>
          <w:p>
            <w:pPr>
              <w:jc w:val="center"/>
            </w:pPr>
            <w:r>
              <w:rPr>
                <w:b w:val="false"/>
                <w:bCs w:val="false"/>
                <w:color w:val="000000"/>
                <w:sz w:val="16"/>
                <w:szCs w:val="16"/>
              </w:rPr>
              <w:t xml:space="preserve">Bajo: el sistema sirve páginas y datos agregados, no contenido pesado</w:t>
            </w:r>
          </w:p>
        </w:tc>
      </w:tr>
    </w:tbl>
    <w:p>
      <w:pPr>
        <w:pStyle w:val="Heading2"/>
        <w:spacing w:after="120" w:before="240"/>
      </w:pPr>
      <w:r>
        <w:t xml:space="preserve">14.1 Medidas de reducción aplicables al proyecto</w:t>
      </w:r>
    </w:p>
    <w:p>
      <w:pPr>
        <w:pStyle w:val="ListParagraph"/>
        <w:numPr>
          <w:ilvl w:val="0"/>
          <w:numId w:val="1"/>
        </w:numPr>
        <w:spacing w:after="80"/>
      </w:pPr>
      <w:r>
        <w:t xml:space="preserve">Apagar el ambiente de staging fuera del horario de trabajo del equipo.</w:t>
      </w:r>
    </w:p>
    <w:p>
      <w:pPr>
        <w:pStyle w:val="ListParagraph"/>
        <w:numPr>
          <w:ilvl w:val="0"/>
          <w:numId w:val="1"/>
        </w:numPr>
        <w:spacing w:after="80"/>
      </w:pPr>
      <w:r>
        <w:t xml:space="preserve">Usar los créditos del programa educativo de Google Cloud durante el semestre.</w:t>
      </w:r>
    </w:p>
    <w:p>
      <w:pPr>
        <w:pStyle w:val="ListParagraph"/>
        <w:numPr>
          <w:ilvl w:val="0"/>
          <w:numId w:val="1"/>
        </w:numPr>
        <w:spacing w:after="80"/>
      </w:pPr>
      <w:r>
        <w:t xml:space="preserve">Mantener el ambiente de developer en las máquinas del equipo con Docker Compose, sin costo de nube.</w:t>
      </w:r>
    </w:p>
    <w:p>
      <w:pPr>
        <w:pStyle w:val="ListParagraph"/>
        <w:numPr>
          <w:ilvl w:val="0"/>
          <w:numId w:val="1"/>
        </w:numPr>
        <w:spacing w:after="80"/>
      </w:pPr>
      <w:r>
        <w:t xml:space="preserve">Verificar el costo mensual estimado en la calculadora oficial de precios antes de crear los recursos, y volver a verificarlo al cambiar de tipo de máquina.</w:t>
      </w:r>
    </w:p>
    <w:p>
      <w:pPr>
        <w:spacing w:after="160"/>
        <w:jc w:val="both"/>
      </w:pPr>
      <w:r>
        <w:rPr>
          <w:i/>
          <w:iCs/>
          <w:color w:val="808080"/>
          <w:sz w:val="19"/>
          <w:szCs w:val="19"/>
        </w:rPr>
        <w:t xml:space="preserve">El equipo debe registrar el costo real observado durante el semestre en el reporte técnico, en lugar de presentar una estimación teórica.</w:t>
      </w:r>
    </w:p>
    <w:p>
      <w:pPr>
        <w:pStyle w:val="Heading1"/>
        <w:spacing w:after="160" w:before="320"/>
      </w:pPr>
      <w:r>
        <w:t xml:space="preserve">15. Riesgos y limitaciones declaradas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500"/>
        <w:gridCol w:w="2680"/>
      </w:tblGrid>
      <w:tr>
        <w:trPr>
          <w:tblHeader/>
        </w:trPr>
        <w:tc>
          <w:tcPr>
            <w:tcW w:type="dxa" w:w="700"/>
            <w:shd w:fill="1F3864" w:val="clear"/>
            <w:tcMar>
              <w:top w:type="dxa" w:w="70"/>
              <w:left w:type="dxa" w:w="100"/>
              <w:bottom w:type="dxa" w:w="70"/>
              <w:right w:type="dxa" w:w="100"/>
            </w:tcMar>
            <w:vAlign w:val="center"/>
          </w:tcPr>
          <w:p>
            <w:pPr>
              <w:jc w:val="center"/>
            </w:pPr>
            <w:r>
              <w:rPr>
                <w:b/>
                <w:bCs/>
                <w:color w:val="FFFFFF"/>
                <w:sz w:val="17"/>
                <w:szCs w:val="17"/>
              </w:rPr>
              <w:t xml:space="preserve">#</w:t>
            </w:r>
          </w:p>
        </w:tc>
        <w:tc>
          <w:tcPr>
            <w:tcW w:type="dxa" w:w="3200"/>
            <w:shd w:fill="1F3864" w:val="clear"/>
            <w:tcMar>
              <w:top w:type="dxa" w:w="70"/>
              <w:left w:type="dxa" w:w="100"/>
              <w:bottom w:type="dxa" w:w="70"/>
              <w:right w:type="dxa" w:w="100"/>
            </w:tcMar>
            <w:vAlign w:val="center"/>
          </w:tcPr>
          <w:p>
            <w:pPr>
              <w:jc w:val="center"/>
            </w:pPr>
            <w:r>
              <w:rPr>
                <w:b/>
                <w:bCs/>
                <w:color w:val="FFFFFF"/>
                <w:sz w:val="17"/>
                <w:szCs w:val="17"/>
              </w:rPr>
              <w:t xml:space="preserve">Riesgo o limitación</w:t>
            </w:r>
          </w:p>
        </w:tc>
        <w:tc>
          <w:tcPr>
            <w:tcW w:type="dxa" w:w="2500"/>
            <w:shd w:fill="1F3864" w:val="clear"/>
            <w:tcMar>
              <w:top w:type="dxa" w:w="70"/>
              <w:left w:type="dxa" w:w="100"/>
              <w:bottom w:type="dxa" w:w="70"/>
              <w:right w:type="dxa" w:w="100"/>
            </w:tcMar>
            <w:vAlign w:val="center"/>
          </w:tcPr>
          <w:p>
            <w:pPr>
              <w:jc w:val="center"/>
            </w:pPr>
            <w:r>
              <w:rPr>
                <w:b/>
                <w:bCs/>
                <w:color w:val="FFFFFF"/>
                <w:sz w:val="17"/>
                <w:szCs w:val="17"/>
              </w:rPr>
              <w:t xml:space="preserve">Impacto</w:t>
            </w:r>
          </w:p>
        </w:tc>
        <w:tc>
          <w:tcPr>
            <w:tcW w:type="dxa" w:w="2680"/>
            <w:shd w:fill="1F3864" w:val="clear"/>
            <w:tcMar>
              <w:top w:type="dxa" w:w="70"/>
              <w:left w:type="dxa" w:w="100"/>
              <w:bottom w:type="dxa" w:w="70"/>
              <w:right w:type="dxa" w:w="100"/>
            </w:tcMar>
            <w:vAlign w:val="center"/>
          </w:tcPr>
          <w:p>
            <w:pPr>
              <w:jc w:val="center"/>
            </w:pPr>
            <w:r>
              <w:rPr>
                <w:b/>
                <w:bCs/>
                <w:color w:val="FFFFFF"/>
                <w:sz w:val="17"/>
                <w:szCs w:val="17"/>
              </w:rPr>
              <w:t xml:space="preserve">Tratamiento</w:t>
            </w:r>
          </w:p>
        </w:tc>
      </w:tr>
      <w:tr>
        <w:trPr>
          <w:cantSplit/>
        </w:trP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1</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La máquina de datos es punto único de falla</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Interrupción total</w:t>
            </w:r>
          </w:p>
        </w:tc>
        <w:tc>
          <w:tcPr>
            <w:tcW w:type="dxa" w:w="2680"/>
            <w:tcMar>
              <w:top w:type="dxa" w:w="70"/>
              <w:left w:type="dxa" w:w="100"/>
              <w:bottom w:type="dxa" w:w="70"/>
              <w:right w:type="dxa" w:w="100"/>
            </w:tcMar>
            <w:vAlign w:val="center"/>
          </w:tcPr>
          <w:p>
            <w:pPr>
              <w:jc w:val="center"/>
            </w:pPr>
            <w:r>
              <w:rPr>
                <w:b w:val="false"/>
                <w:bCs w:val="false"/>
                <w:color w:val="000000"/>
                <w:sz w:val="16"/>
                <w:szCs w:val="16"/>
              </w:rPr>
              <w:t xml:space="preserve">Réplica de lectura en el tercer parcial; respaldo diario mientras tanto</w:t>
            </w:r>
          </w:p>
        </w:tc>
      </w:tr>
      <w:tr>
        <w:trPr>
          <w:cantSplit/>
        </w:trP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2</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Las mediciones se hicieron en una sola máquina, no en Compute Engine</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Los valores en la nube pueden diferir</w:t>
            </w:r>
          </w:p>
        </w:tc>
        <w:tc>
          <w:tcPr>
            <w:tcW w:type="dxa" w:w="2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Repetir la medición en staging y registrar el resultado</w:t>
            </w:r>
          </w:p>
        </w:tc>
      </w:tr>
      <w:tr>
        <w:trPr>
          <w:cantSplit/>
        </w:trP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3</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Las instancias de la familia e2 comparten procesador</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Variabilidad de latencia bajo carga del vecino</w:t>
            </w:r>
          </w:p>
        </w:tc>
        <w:tc>
          <w:tcPr>
            <w:tcW w:type="dxa" w:w="2680"/>
            <w:tcMar>
              <w:top w:type="dxa" w:w="70"/>
              <w:left w:type="dxa" w:w="100"/>
              <w:bottom w:type="dxa" w:w="70"/>
              <w:right w:type="dxa" w:w="100"/>
            </w:tcMar>
            <w:vAlign w:val="center"/>
          </w:tcPr>
          <w:p>
            <w:pPr>
              <w:jc w:val="center"/>
            </w:pPr>
            <w:r>
              <w:rPr>
                <w:b w:val="false"/>
                <w:bCs w:val="false"/>
                <w:color w:val="000000"/>
                <w:sz w:val="16"/>
                <w:szCs w:val="16"/>
              </w:rPr>
              <w:t xml:space="preserve">Vigilar el indicador de crédito de CPU; migrar a familia n2 si se observa</w:t>
            </w:r>
          </w:p>
        </w:tc>
      </w:tr>
      <w:tr>
        <w:trPr>
          <w:cantSplit/>
        </w:trP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4</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costo no está cifrado en este documento</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equipo podría exceder los créditos</w:t>
            </w:r>
          </w:p>
        </w:tc>
        <w:tc>
          <w:tcPr>
            <w:tcW w:type="dxa" w:w="2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Verificar en la calculadora oficial antes de crear recursos y vigilar el consumo</w:t>
            </w:r>
          </w:p>
        </w:tc>
      </w:tr>
      <w:tr>
        <w:trPr>
          <w:cantSplit/>
        </w:trP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5</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No se ha ejecutado prueba de carga con Locust</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El comportamiento bajo carga real es una proyección</w:t>
            </w:r>
          </w:p>
        </w:tc>
        <w:tc>
          <w:tcPr>
            <w:tcW w:type="dxa" w:w="2680"/>
            <w:tcMar>
              <w:top w:type="dxa" w:w="70"/>
              <w:left w:type="dxa" w:w="100"/>
              <w:bottom w:type="dxa" w:w="70"/>
              <w:right w:type="dxa" w:w="100"/>
            </w:tcMar>
            <w:vAlign w:val="center"/>
          </w:tcPr>
          <w:p>
            <w:pPr>
              <w:jc w:val="center"/>
            </w:pPr>
            <w:r>
              <w:rPr>
                <w:b w:val="false"/>
                <w:bCs w:val="false"/>
                <w:color w:val="000000"/>
                <w:sz w:val="16"/>
                <w:szCs w:val="16"/>
              </w:rPr>
              <w:t xml:space="preserve">Ejecutar el plan de pruebas de carga en el tercer parcial</w:t>
            </w:r>
          </w:p>
        </w:tc>
      </w:tr>
      <w:tr>
        <w:trPr>
          <w:cantSplit/>
        </w:trP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6</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ambiente de producción aún no está desplegado</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La rúbrica exige ejecución en los tres ambientes</w:t>
            </w:r>
          </w:p>
        </w:tc>
        <w:tc>
          <w:tcPr>
            <w:tcW w:type="dxa" w:w="2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Desplegar dentro del sprint en curso; es requisito de la demostración</w:t>
            </w:r>
          </w:p>
        </w:tc>
      </w:tr>
    </w:tbl>
    <w:p>
      <w:pPr>
        <w:pStyle w:val="Heading1"/>
        <w:spacing w:after="160" w:before="320"/>
      </w:pPr>
      <w:r>
        <w:t xml:space="preserve">16. Conclusiones</w:t>
      </w:r>
    </w:p>
    <w:p>
      <w:pPr>
        <w:pStyle w:val="ListParagraph"/>
        <w:numPr>
          <w:ilvl w:val="0"/>
          <w:numId w:val="1"/>
        </w:numPr>
        <w:spacing w:after="80"/>
      </w:pPr>
      <w:r>
        <w:t xml:space="preserve">El dimensionamiento se sostiene en mediciones y no en supuestos: 69.9 MB de memoria para la base de datos, 158.4 MB para la aplicación y 62 MB de almacenamiento, con la organización del caso cargada por completo.</w:t>
      </w:r>
    </w:p>
    <w:p>
      <w:pPr>
        <w:pStyle w:val="ListParagraph"/>
        <w:numPr>
          <w:ilvl w:val="0"/>
          <w:numId w:val="1"/>
        </w:numPr>
        <w:spacing w:after="80"/>
      </w:pPr>
      <w:r>
        <w:t xml:space="preserve">Dos instancias pequeñas de Compute Engine cubren la carga con un margen de doce veces en la capa de aplicación y de cincuenta y siete veces en la de datos.</w:t>
      </w:r>
    </w:p>
    <w:p>
      <w:pPr>
        <w:pStyle w:val="ListParagraph"/>
        <w:numPr>
          <w:ilvl w:val="0"/>
          <w:numId w:val="1"/>
        </w:numPr>
        <w:spacing w:after="80"/>
      </w:pPr>
      <w:r>
        <w:t xml:space="preserve">La medición extremo a extremo cierra la limitación declarada en el documento de rendimiento: con veinticinco peticiones simultáneas el percentil 95 es de 224 ms, por debajo del objetivo de 500 ms.</w:t>
      </w:r>
    </w:p>
    <w:p>
      <w:pPr>
        <w:pStyle w:val="ListParagraph"/>
        <w:numPr>
          <w:ilvl w:val="0"/>
          <w:numId w:val="1"/>
        </w:numPr>
        <w:spacing w:after="80"/>
      </w:pPr>
      <w:r>
        <w:t xml:space="preserve">La segmentación de red lleva la decisión de privacidad D-01 al plano de la infraestructura: la máquina que guarda los datos personales no es alcanzable desde Internet.</w:t>
      </w:r>
    </w:p>
    <w:p>
      <w:pPr>
        <w:pStyle w:val="ListParagraph"/>
        <w:numPr>
          <w:ilvl w:val="0"/>
          <w:numId w:val="1"/>
        </w:numPr>
        <w:spacing w:after="80"/>
      </w:pPr>
      <w:r>
        <w:t xml:space="preserve">Los tres ambientes exigidos por la rúbrica quedan definidos con su infraestructura, sus datos y su operación, compartiendo las mismas imágenes de contenedor.</w:t>
      </w:r>
    </w:p>
    <w:p>
      <w:pPr>
        <w:pStyle w:val="ListParagraph"/>
        <w:numPr>
          <w:ilvl w:val="0"/>
          <w:numId w:val="1"/>
        </w:numPr>
        <w:spacing w:after="80"/>
      </w:pPr>
      <w:r>
        <w:t xml:space="preserve">Los umbrales de escalamiento están fijados contra mediciones concretas, de modo que el equipo pueda reconocer cuándo crecer en lugar de estimarlo.</w:t>
      </w:r>
    </w:p>
    <w:p>
      <w:pPr>
        <w:pStyle w:val="ListParagraph"/>
        <w:numPr>
          <w:ilvl w:val="0"/>
          <w:numId w:val="1"/>
        </w:numPr>
        <w:spacing w:after="80"/>
      </w:pPr>
      <w:r>
        <w:t xml:space="preserve">El riesgo abierto principal es que la máquina de datos constituye un punto único de falla, con mitigación planificada y fechada.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Diseño de Arquitectura de Hardware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27"/>
      <w:szCs w:val="27"/>
    </w:rPr>
  </w:style>
  <w:style w:type="paragraph" w:styleId="Heading2">
    <w:name w:val="Heading 2"/>
    <w:basedOn w:val="Normal"/>
    <w:next w:val="Normal"/>
    <w:qFormat/>
    <w:pPr>
      <w:spacing w:after="120" w:before="240"/>
      <w:outlineLvl w:val="1"/>
    </w:pPr>
    <w:rPr>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09baf17b22f502f7917349cbd7e11867e313f51.png"/><Relationship Id="rId10" Type="http://schemas.openxmlformats.org/officeDocument/2006/relationships/image" Target="media/012e1eb53907d3621137a44d61f426641c50da3f.png"/><Relationship Id="rId11" Type="http://schemas.openxmlformats.org/officeDocument/2006/relationships/image" Target="media/cefc380363dbb522f591df9ac290584808bd7a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2026-09-30T03:35:46.318Z</dcterms:created>
  <dcterms:modified xsi:type="dcterms:W3CDTF">2026-09-30T03:35:46.319Z</dcterms:modified>
</cp:coreProperties>
</file>

<file path=docProps/custom.xml><?xml version="1.0" encoding="utf-8"?>
<Properties xmlns="http://schemas.openxmlformats.org/officeDocument/2006/custom-properties" xmlns:vt="http://schemas.openxmlformats.org/officeDocument/2006/docPropsVTypes"/>
</file>