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b/>
          <w:bCs/>
          <w:color w:val="1A1A1A"/>
          <w:sz w:val="44"/>
          <w:szCs w:val="44"/>
          <w:highlight w:val="yellow"/>
          <w:highlightCs w:val="yellow"/>
        </w:rPr>
        <w:t xml:space="preserve">  UDEM  </w:t>
      </w:r>
    </w:p>
    <w:p>
      <w:pPr>
        <w:spacing w:after="360"/>
      </w:pPr>
    </w:p>
    <w:p>
      <w:pPr>
        <w:spacing w:after="340"/>
        <w:jc w:val="center"/>
      </w:pPr>
      <w:r>
        <w:rPr>
          <w:b/>
          <w:bCs/>
          <w:sz w:val="26"/>
          <w:szCs w:val="26"/>
        </w:rPr>
        <w:t xml:space="preserve">UNIVERSIDAD DE MONTERREY</w:t>
      </w:r>
    </w:p>
    <w:p>
      <w:pPr>
        <w:spacing w:after="340"/>
        <w:jc w:val="center"/>
      </w:pPr>
      <w:r>
        <w:rPr>
          <w:b/>
          <w:bCs/>
          <w:sz w:val="24"/>
          <w:szCs w:val="24"/>
        </w:rPr>
        <w:t xml:space="preserve">Integración de aplicaciones computacionales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Proyecto 4. Plataforma de Bienestar Laboral y Prevención de Burnout (EQUIPO 03)</w:t>
      </w:r>
    </w:p>
    <w:p>
      <w:pPr>
        <w:spacing w:after="520"/>
        <w:jc w:val="center"/>
      </w:pPr>
      <w:r>
        <w:rPr>
          <w:b/>
          <w:bCs/>
          <w:sz w:val="24"/>
          <w:szCs w:val="24"/>
        </w:rPr>
        <w:t xml:space="preserve">Diagramas de Arquitectura</w:t>
      </w:r>
    </w:p>
    <w:p>
      <w:pPr>
        <w:spacing w:after="5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Integrantes:</w:t>
      </w:r>
    </w:p>
    <w:p>
      <w:pPr>
        <w:spacing w:after="60"/>
      </w:pPr>
      <w:r>
        <w:rPr>
          <w:sz w:val="22"/>
          <w:szCs w:val="22"/>
        </w:rPr>
        <w:t xml:space="preserve">Emiliano Pascual Piñales Sánchez #657657</w:t>
      </w:r>
    </w:p>
    <w:p>
      <w:pPr>
        <w:spacing w:after="60"/>
      </w:pPr>
      <w:r>
        <w:rPr>
          <w:sz w:val="22"/>
          <w:szCs w:val="22"/>
        </w:rPr>
        <w:t xml:space="preserve">Gerardo Quiroga Ramírez #650313</w:t>
      </w:r>
    </w:p>
    <w:p>
      <w:pPr>
        <w:spacing w:after="60"/>
      </w:pPr>
      <w:r>
        <w:rPr>
          <w:sz w:val="22"/>
          <w:szCs w:val="22"/>
        </w:rPr>
        <w:t xml:space="preserve">Ricardo Arath Sánchez Aguirre #583928</w:t>
      </w:r>
    </w:p>
    <w:p>
      <w:pPr>
        <w:spacing w:after="60"/>
      </w:pPr>
      <w:r>
        <w:rPr>
          <w:sz w:val="22"/>
          <w:szCs w:val="22"/>
        </w:rPr>
        <w:t xml:space="preserve">Juan Pablo Ramos Salazar #610248</w:t>
      </w:r>
    </w:p>
    <w:p>
      <w:pPr>
        <w:spacing w:after="4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“Damos nuestra palabra que hemos realizado esta actividad con integridad académica”</w:t>
      </w:r>
    </w:p>
    <w:p>
      <w:r>
        <w:br w:type="page"/>
      </w:r>
    </w:p>
    <w:p>
      <w:pPr>
        <w:pStyle w:val="Heading1"/>
        <w:spacing w:after="150" w:before="200"/>
      </w:pPr>
      <w:r>
        <w:t xml:space="preserve">Contenido</w:t>
      </w:r>
    </w:p>
    <w:p>
      <w:pPr>
        <w:spacing w:after="150"/>
      </w:pPr>
      <w:r>
        <w:rPr>
          <w:i/>
          <w:iCs/>
          <w:color w:val="808080"/>
          <w:sz w:val="18"/>
          <w:szCs w:val="18"/>
        </w:rPr>
        <w:t xml:space="preserve">Para actualizar el índice en Word: clic derecho sobre la tabla → Actualizar campos → Actualizar toda la tabla.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 del documento</w:t>
      </w:r>
    </w:p>
    <w:p>
      <w:pPr>
        <w:spacing w:after="160"/>
        <w:jc w:val="both"/>
      </w:pPr>
      <w:r>
        <w:t xml:space="preserve">Este documento presenta la arquitectura completa de la Plataforma de Bienestar Laboral y Prevención de Burnout: qué componentes existen, cómo se comunican, dónde se despliegan y qué motor de almacenamiento le corresponde a cada tipo de dato.</w:t>
      </w:r>
    </w:p>
    <w:p>
      <w:pPr>
        <w:spacing w:after="160"/>
        <w:jc w:val="both"/>
      </w:pPr>
      <w:r>
        <w:t xml:space="preserve">Aunque en este primer parcial solo se implementa el Sistema Web conectado a PostgreSQL, los ocho diagramas cubren la arquitectura objetivo completa (incluyendo microservicios y aplicaciones cliente), tal como lo requiere la guía de la materia. Esto le da a Ricardo el contexto necesario antes de construir el modelo de PostgreSQL: qué tablas le corresponden al sistema web y qué datos NO deben vivir en su modelo porque pertenecen a MongoDB o Redis.</w:t>
      </w:r>
    </w:p>
    <w:p>
      <w:pPr>
        <w:spacing w:after="160"/>
        <w:jc w:val="both"/>
      </w:pPr>
      <w:r>
        <w:t xml:space="preserve">Referencia: las decisiones D-01 (seudonimización), D-02 (consentimiento versionado), D-04 (sin acceso individual para autoridad laboral) y D-07 (umbral k=5 más privacidad diferencial con presupuesto de épsilon) del documento de análisis se reflejan directamente en estos diagramas, en particular en el de almacenamiento de datos (sección 9).</w:t>
      </w:r>
    </w:p>
    <w:p>
      <w:pPr>
        <w:pStyle w:val="Heading1"/>
        <w:spacing w:after="160" w:before="320"/>
      </w:pPr>
      <w:r>
        <w:t xml:space="preserve">2. Diagrama de contexto</w:t>
      </w:r>
    </w:p>
    <w:p>
      <w:pPr>
        <w:spacing w:after="160"/>
        <w:jc w:val="both"/>
      </w:pPr>
      <w:r>
        <w:t xml:space="preserve">Ubica a la plataforma frente a los siete actores que interactúan con ella. No hay integración con sistemas externos en este parcial: los dispositivos vestibles, por ejemplo, quedan fuera de alcance (ver Documento de Análisis, sección 12.3).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1. Diagrama de contexto.</w:t>
      </w:r>
    </w:p>
    <w:p>
      <w:pPr>
        <w:pStyle w:val="Heading1"/>
        <w:spacing w:after="160" w:before="320"/>
      </w:pPr>
      <w:r>
        <w:t xml:space="preserve">3. Diagrama de contenedores</w:t>
      </w:r>
    </w:p>
    <w:p>
      <w:pPr>
        <w:spacing w:after="160"/>
        <w:jc w:val="both"/>
      </w:pPr>
      <w:r>
        <w:t xml:space="preserve">Nivel C4-2: separa lo que se implementa en este parcial (Sistema Web + PostgreSQL, con MongoDB y Redis como contenedores levantados pero solo diseñados) de lo que se documenta a nivel de diseño para parciales posteriores (microservicios, apps cliente, Google Cloud Storage).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2. Diagrama de contenedores.</w:t>
      </w:r>
    </w:p>
    <w:p>
      <w:pPr>
        <w:pStyle w:val="Heading1"/>
        <w:spacing w:after="160" w:before="320"/>
      </w:pPr>
      <w:r>
        <w:t xml:space="preserve">4. Diagrama de componentes</w:t>
      </w:r>
    </w:p>
    <w:p>
      <w:pPr>
        <w:spacing w:after="160"/>
        <w:jc w:val="both"/>
      </w:pPr>
      <w:r>
        <w:t xml:space="preserve">Desglosa el Sistema Web en sus módulos internos: autenticación, catálogos, consentimiento, encuesta, reportes/agregación, auditoría y administración de usuarios. Todos pasan por una capa de acceso a datos común antes de llegar a PostgreSQL — este es el mapa que Ricardo traduce directamente a tablas.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3. Diagrama de componentes.</w:t>
      </w:r>
    </w:p>
    <w:p>
      <w:pPr>
        <w:pStyle w:val="Heading1"/>
        <w:spacing w:after="160" w:before="320"/>
      </w:pPr>
      <w:r>
        <w:t xml:space="preserve">5. Diagrama de despliegue</w:t>
      </w:r>
    </w:p>
    <w:p>
      <w:pPr>
        <w:spacing w:after="160"/>
        <w:jc w:val="both"/>
      </w:pPr>
      <w:r>
        <w:t xml:space="preserve">Muestra los contenedores Docker que corren en la máquina de cada integrante durante el desarrollo: web-flask, postgres, mongo y redis, orquestados por docker-compose.yml. Google Compute Engine queda marcado como trabajo del tercer parcial.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4. Diagrama de despliegue.</w:t>
      </w:r>
    </w:p>
    <w:p>
      <w:pPr>
        <w:pStyle w:val="Heading1"/>
        <w:spacing w:after="160" w:before="320"/>
      </w:pPr>
      <w:r>
        <w:t xml:space="preserve">6. Diagrama de red</w:t>
      </w:r>
    </w:p>
    <w:p>
      <w:pPr>
        <w:spacing w:after="160"/>
        <w:jc w:val="both"/>
      </w:pPr>
      <w:r>
        <w:t xml:space="preserve">Separa la zona pública (solo el Sistema Web expone un puerto) de la zona privada (PostgreSQL, MongoDB y Redis, alcanzables únicamente desde la red interna de contenedores). Esta regla se traduce directamente en las reglas de firewall del docker-compose.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5. Diagrama de red.</w:t>
      </w:r>
    </w:p>
    <w:p>
      <w:pPr>
        <w:pStyle w:val="Heading1"/>
        <w:spacing w:after="160" w:before="320"/>
      </w:pPr>
      <w:r>
        <w:t xml:space="preserve">7. Diagrama de secuencia — proceso principal</w:t>
      </w:r>
    </w:p>
    <w:p>
      <w:pPr>
        <w:spacing w:after="160"/>
        <w:jc w:val="both"/>
      </w:pPr>
      <w:r>
        <w:t xml:space="preserve">Recorre paso a paso el proceso de negocio principal (MPF): un Colaborador inicia sesión, el sistema valida su consentimiento vigente antes de mostrar la encuesta, y la respuesta se guarda seudonimizada en PostgreSQL.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6. Diagrama de secuencia — proceso principal.</w:t>
      </w:r>
    </w:p>
    <w:p>
      <w:pPr>
        <w:pStyle w:val="Heading1"/>
        <w:spacing w:after="160" w:before="320"/>
      </w:pPr>
      <w:r>
        <w:t xml:space="preserve">8. Diagrama de autenticación</w:t>
      </w:r>
    </w:p>
    <w:p>
      <w:pPr>
        <w:spacing w:after="160"/>
        <w:jc w:val="both"/>
      </w:pPr>
      <w:r>
        <w:t xml:space="preserve">Detalla el flujo de JWT: emisión al iniciar sesión, uso en peticiones posteriores, y verificación contra la lista de tokens revocados en Redis en cada petición protegida.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7. Diagrama de autenticación.</w:t>
      </w:r>
    </w:p>
    <w:p>
      <w:pPr>
        <w:pStyle w:val="Heading1"/>
        <w:spacing w:after="160" w:before="320"/>
      </w:pPr>
      <w:r>
        <w:t xml:space="preserve">9. Diagrama de almacenamiento de datos</w:t>
      </w:r>
    </w:p>
    <w:p>
      <w:pPr>
        <w:spacing w:after="160"/>
        <w:jc w:val="both"/>
      </w:pPr>
      <w:r>
        <w:t xml:space="preserve">El diagrama más importante para el modelo de PostgreSQL: clasifica cada categoría de dato (identidad, seudónimo, consentimiento, catálogos, respuestas, auditoría, sesiones, caché, evidencias) y señala el motor que le corresponde. Todo lo que aparece con destino PostgreSQL es, en principio, una tabla del modelo relacional.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Figura 8. Diagrama de almacenamiento de datos.</w:t>
      </w:r>
    </w:p>
    <w:p>
      <w:pPr>
        <w:pStyle w:val="Heading1"/>
        <w:spacing w:after="160" w:before="320"/>
      </w:pPr>
      <w:r>
        <w:t xml:space="preserve">10. Siguiente paso</w:t>
      </w:r>
    </w:p>
    <w:p>
      <w:pPr>
        <w:spacing w:after="160"/>
        <w:jc w:val="both"/>
      </w:pPr>
      <w:r>
        <w:t xml:space="preserve">Con la arquitectura completa documentada, el equipo tiene el criterio necesario para modelar las bases de datos: qué va en PostgreSQL (sección 9 de este documento), qué va en MongoDB, y qué va en Redis. El siguiente entregable es el Modelo de PostgreSQL (conceptual, lógico y físico), seguido del diseño de MongoDB (con .xml, JSON e imágenes de ejemplo) y el diseño de Redis.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Equipo 03 — Proyecto 4 · Diagramas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6c3a1623c030ec139987bd4fbca55535fd0ab4.png"/><Relationship Id="rId10" Type="http://schemas.openxmlformats.org/officeDocument/2006/relationships/image" Target="media/45853ed556bfd58b0d62c32eac607dc366af5faf.png"/><Relationship Id="rId11" Type="http://schemas.openxmlformats.org/officeDocument/2006/relationships/image" Target="media/edb1b065a5e7ef230c03a760a3349659ea106a2d.png"/><Relationship Id="rId12" Type="http://schemas.openxmlformats.org/officeDocument/2006/relationships/image" Target="media/67ae8052e1464adb879b8aa9dd8999ccb6fcbe00.png"/><Relationship Id="rId13" Type="http://schemas.openxmlformats.org/officeDocument/2006/relationships/image" Target="media/e0b6cdd2ee6022eda19c5063b45add6f19a65f47.png"/><Relationship Id="rId14" Type="http://schemas.openxmlformats.org/officeDocument/2006/relationships/image" Target="media/218215d024e256fab392aeb4df7c00e7759ec347.png"/><Relationship Id="rId15" Type="http://schemas.openxmlformats.org/officeDocument/2006/relationships/image" Target="media/8656f09e0282da1dd6b8cacbcc903c958d049c7f.png"/><Relationship Id="rId16" Type="http://schemas.openxmlformats.org/officeDocument/2006/relationships/image" Target="media/25d2683c125d4d184ac0be68f51ade20cc9210b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2026-09-04T15:34:17.934Z</dcterms:created>
  <dcterms:modified xsi:type="dcterms:W3CDTF">2026-09-04T15:34:17.935Z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