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right"/>
      </w:pPr>
      <w:r>
        <w:rPr>
          <w:b/>
          <w:bCs/>
          <w:color w:val="1A1A1A"/>
          <w:sz w:val="44"/>
          <w:szCs w:val="44"/>
          <w:highlight w:val="yellow"/>
        </w:rPr>
        <w:t xml:space="preserve">  UDEM  </w:t>
      </w:r>
    </w:p>
    <w:p>
      <w:pPr>
        <w:spacing w:after="360"/>
      </w:pPr>
    </w:p>
    <w:p>
      <w:pPr>
        <w:spacing w:after="340"/>
        <w:jc w:val="center"/>
      </w:pPr>
      <w:r>
        <w:rPr>
          <w:b/>
          <w:bCs/>
          <w:sz w:val="26"/>
          <w:szCs w:val="26"/>
        </w:rPr>
        <w:t xml:space="preserve">UNIVERSIDAD DE MONTERREY</w:t>
      </w:r>
    </w:p>
    <w:p>
      <w:pPr>
        <w:spacing w:after="340"/>
        <w:jc w:val="center"/>
      </w:pPr>
      <w:r>
        <w:rPr>
          <w:b/>
          <w:bCs/>
          <w:sz w:val="24"/>
          <w:szCs w:val="24"/>
        </w:rPr>
        <w:t xml:space="preserve">Integración de aplicaciones computacionales</w:t>
      </w:r>
    </w:p>
    <w:p>
      <w:pPr>
        <w:spacing w:after="60"/>
        <w:jc w:val="center"/>
      </w:pPr>
      <w:r>
        <w:rPr>
          <w:b/>
          <w:bCs/>
          <w:sz w:val="24"/>
          <w:szCs w:val="24"/>
        </w:rPr>
        <w:t xml:space="preserve">Proyecto 4. Plataforma de Bienestar Laboral y Prevención de Burnout (EQUIPO 03)</w:t>
      </w:r>
    </w:p>
    <w:p>
      <w:pPr>
        <w:spacing w:after="520"/>
        <w:jc w:val="center"/>
      </w:pPr>
      <w:r>
        <w:rPr>
          <w:b/>
          <w:bCs/>
          <w:sz w:val="24"/>
          <w:szCs w:val="24"/>
        </w:rPr>
        <w:t xml:space="preserve">Monorepo y ambientes de ejecución</w:t>
      </w:r>
    </w:p>
    <w:p>
      <w:pPr>
        <w:spacing w:after="520"/>
      </w:pPr>
    </w:p>
    <w:p>
      <w:pPr>
        <w:spacing w:after="120"/>
      </w:pPr>
      <w:r>
        <w:rPr>
          <w:b/>
          <w:bCs/>
          <w:sz w:val="22"/>
          <w:szCs w:val="22"/>
        </w:rPr>
        <w:t xml:space="preserve">Integrantes:</w:t>
      </w:r>
    </w:p>
    <w:p>
      <w:pPr>
        <w:spacing w:after="60"/>
      </w:pPr>
      <w:r>
        <w:rPr>
          <w:sz w:val="22"/>
          <w:szCs w:val="22"/>
        </w:rPr>
        <w:t xml:space="preserve">Emiliano Pascual Piñales Sánchez #657657</w:t>
      </w:r>
    </w:p>
    <w:p>
      <w:pPr>
        <w:spacing w:after="60"/>
      </w:pPr>
      <w:r>
        <w:rPr>
          <w:sz w:val="22"/>
          <w:szCs w:val="22"/>
        </w:rPr>
        <w:t xml:space="preserve">Gerardo Quiroga Ramírez #650313</w:t>
      </w:r>
    </w:p>
    <w:p>
      <w:pPr>
        <w:spacing w:after="60"/>
      </w:pPr>
      <w:r>
        <w:rPr>
          <w:sz w:val="22"/>
          <w:szCs w:val="22"/>
        </w:rPr>
        <w:t xml:space="preserve">Ricardo Arath Sánchez Aguirre #583928</w:t>
      </w:r>
    </w:p>
    <w:p>
      <w:pPr>
        <w:spacing w:after="60"/>
      </w:pPr>
      <w:r>
        <w:rPr>
          <w:sz w:val="22"/>
          <w:szCs w:val="22"/>
        </w:rPr>
        <w:t xml:space="preserve">Juan Pablo Ramos Salazar #610248</w:t>
      </w:r>
    </w:p>
    <w:p>
      <w:pPr>
        <w:spacing w:after="400"/>
      </w:pPr>
    </w:p>
    <w:p>
      <w:pPr>
        <w:spacing w:after="200"/>
      </w:pPr>
      <w:r>
        <w:rPr>
          <w:b/>
          <w:bCs/>
          <w:sz w:val="22"/>
          <w:szCs w:val="22"/>
        </w:rPr>
        <w:t xml:space="preserve">“Damos nuestra palabra que hemos realizado esta actividad con integridad académica”</w:t>
      </w:r>
    </w:p>
    <w:p>
      <w:r>
        <w:br w:type="page"/>
      </w:r>
    </w:p>
    <w:p>
      <w:pPr>
        <w:pStyle w:val="Heading1"/>
        <w:spacing w:after="160" w:before="320"/>
      </w:pPr>
      <w:r>
        <w:t xml:space="preserve">Contenido</w:t>
      </w:r>
    </w:p>
    <w:p>
      <w:pPr>
        <w:spacing w:after="160"/>
        <w:jc w:val="both"/>
      </w:pPr>
      <w:r>
        <w:rPr>
          <w:i/>
          <w:iCs/>
          <w:color w:val="808080"/>
          <w:sz w:val="18"/>
          <w:szCs w:val="18"/>
        </w:rPr>
        <w:t xml:space="preserve">Para actualizar el índice en Word: clic derecho sobre la tabla → Actualizar campos → Actualizar toda la tabla.</w:t>
      </w:r>
    </w:p>
    <w:sdt>
      <w:sdtPr>
        <w:alias w:val="Contenido"/>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20"/>
      </w:pPr>
      <w:r>
        <w:t xml:space="preserve">1. Propósito</w:t>
      </w:r>
    </w:p>
    <w:p>
      <w:pPr>
        <w:spacing w:after="160"/>
        <w:jc w:val="both"/>
      </w:pPr>
      <w:r>
        <w:t xml:space="preserve">Este documento describe el repositorio del proyecto y los tres ambientes de ejecución que exige la rúbrica: developer, staging y production. Explica cómo está organizado el código, cómo se levanta cada ambiente, qué cambia entre uno y otro, y qué comprobaciones impiden que un error de operación pase desapercibido.</w:t>
      </w:r>
    </w:p>
    <w:p>
      <w:pPr>
        <w:spacing w:after="160"/>
        <w:jc w:val="both"/>
      </w:pPr>
      <w:r>
        <w:rPr>
          <w:b/>
          <w:bCs/>
          <w:i w:val="false"/>
          <w:iCs w:val="false"/>
        </w:rPr>
        <w:t xml:space="preserve">Todo lo que se afirma aquí fue ejecutado. </w:t>
      </w:r>
      <w:r>
        <w:rPr>
          <w:b w:val="false"/>
          <w:bCs w:val="false"/>
          <w:i w:val="false"/>
          <w:iCs w:val="false"/>
        </w:rPr>
        <w:t xml:space="preserve">La sección 8 contiene la evidencia: la cadena de arranque de la base corrida de principio a fin, la prueba de humo de cinco pasos y las pruebas de frontera de privilegios, con la salida textual de cada una.</w:t>
      </w:r>
    </w:p>
    <w:p>
      <w:pPr>
        <w:pStyle w:val="Heading1"/>
        <w:spacing w:after="160" w:before="320"/>
      </w:pPr>
      <w:r>
        <w:t xml:space="preserve">2. Por qué un monorepo</w:t>
      </w:r>
    </w:p>
    <w:p>
      <w:pPr>
        <w:spacing w:after="160"/>
        <w:jc w:val="both"/>
      </w:pPr>
      <w:r>
        <w:t xml:space="preserve">El proyecto tiene cuatro piezas que cambian juntas: el esquema de la base de datos, el servicio de aplicación, la interfaz y la definición de infraestructura. Separarlas en cuatro repositorios obligaría a coordinar versiones entre ellos a mano.</w:t>
      </w:r>
    </w:p>
    <w:p>
      <w:pPr>
        <w:spacing w:after="160"/>
        <w:jc w:val="both"/>
      </w:pPr>
      <w:r>
        <w:t xml:space="preserve">En un monorepo, un cambio de esquema y el cambio de código que lo necesita entran en el mismo commit. No pueden desincronizarse, porque no existe una versión del repositorio en la que uno esté y el otro no. Para un equipo de cuatro personas trabajando en paralelo durante un semestre, esa propiedad vale más que la independencia de despliegue que daría la separación.</w:t>
      </w:r>
    </w:p>
    <w:p>
      <w:pPr>
        <w:spacing w:after="160"/>
        <w:jc w:val="both"/>
      </w:pPr>
      <w:r>
        <w:t xml:space="preserve">El costo aceptado es que la tubería de integración continua corre sobre todo el repositorio aunque el cambio toque una sola carpeta. Con el tamaño actual del proyecto, ese costo es de minutos.</w:t>
      </w:r>
    </w:p>
    <w:p>
      <w:pPr>
        <w:spacing w:after="80" w:before="120"/>
        <w:jc w:val="center"/>
      </w:pPr>
      <w:r>
        <w:drawing>
          <wp:inline distT="0" distB="0" distL="0" distR="0">
            <wp:extent cx="5905500" cy="3895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895725"/>
                    </a:xfrm>
                    <a:prstGeom prst="rect">
                      <a:avLst/>
                    </a:prstGeom>
                  </pic:spPr>
                </pic:pic>
              </a:graphicData>
            </a:graphic>
          </wp:inline>
        </w:drawing>
      </w:r>
    </w:p>
    <w:p>
      <w:pPr>
        <w:spacing w:after="240"/>
        <w:jc w:val="center"/>
      </w:pPr>
      <w:r>
        <w:rPr>
          <w:i/>
          <w:iCs/>
          <w:color w:val="808080"/>
          <w:sz w:val="18"/>
          <w:szCs w:val="18"/>
        </w:rPr>
        <w:t xml:space="preserve">Figura 1. Estructura del monorepo y lo que se produce a partir de él.</w:t>
      </w:r>
    </w:p>
    <w:p>
      <w:pPr>
        <w:pStyle w:val="Heading1"/>
        <w:spacing w:after="160" w:before="320"/>
      </w:pPr>
      <w:r>
        <w:t xml:space="preserve">3. Organización del repositorio</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300"/>
        <w:gridCol w:w="6780"/>
      </w:tblGrid>
      <w:tr>
        <w:trPr>
          <w:tblHeader/>
        </w:trPr>
        <w:tc>
          <w:tcPr>
            <w:tcW w:type="dxa" w:w="2300"/>
            <w:shd w:fill="1F3864" w:val="clear"/>
            <w:tcMar>
              <w:top w:type="dxa" w:w="70"/>
              <w:left w:type="dxa" w:w="100"/>
              <w:bottom w:type="dxa" w:w="70"/>
              <w:right w:type="dxa" w:w="100"/>
            </w:tcMar>
            <w:vAlign w:val="center"/>
          </w:tcPr>
          <w:p>
            <w:pPr>
              <w:jc w:val="center"/>
            </w:pPr>
            <w:r>
              <w:rPr>
                <w:b/>
                <w:bCs/>
                <w:color w:val="FFFFFF"/>
                <w:sz w:val="17"/>
                <w:szCs w:val="17"/>
              </w:rPr>
              <w:t xml:space="preserve">Ruta</w:t>
            </w:r>
          </w:p>
        </w:tc>
        <w:tc>
          <w:tcPr>
            <w:tcW w:type="dxa" w:w="6780"/>
            <w:shd w:fill="1F3864" w:val="clear"/>
            <w:tcMar>
              <w:top w:type="dxa" w:w="70"/>
              <w:left w:type="dxa" w:w="100"/>
              <w:bottom w:type="dxa" w:w="70"/>
              <w:right w:type="dxa" w:w="100"/>
            </w:tcMar>
            <w:vAlign w:val="center"/>
          </w:tcPr>
          <w:p>
            <w:pPr>
              <w:jc w:val="center"/>
            </w:pPr>
            <w:r>
              <w:rPr>
                <w:b/>
                <w:bCs/>
                <w:color w:val="FFFFFF"/>
                <w:sz w:val="17"/>
                <w:szCs w:val="17"/>
              </w:rPr>
              <w:t xml:space="preserve">Contenido y razón de ser</w:t>
            </w:r>
          </w:p>
        </w:tc>
      </w:tr>
      <w:tr>
        <w:trPr>
          <w:cantSplit/>
        </w:trPr>
        <w:tc>
          <w:tcPr>
            <w:tcW w:type="dxa" w:w="2300"/>
            <w:tcMar>
              <w:top w:type="dxa" w:w="70"/>
              <w:left w:type="dxa" w:w="100"/>
              <w:bottom w:type="dxa" w:w="70"/>
              <w:right w:type="dxa" w:w="100"/>
            </w:tcMar>
            <w:vAlign w:val="center"/>
          </w:tcPr>
          <w:p>
            <w:pPr>
              <w:jc w:val="left"/>
            </w:pPr>
            <w:r>
              <w:rPr>
                <w:b w:val="false"/>
                <w:bCs w:val="false"/>
                <w:color w:val="000000"/>
                <w:sz w:val="16"/>
                <w:szCs w:val="16"/>
              </w:rPr>
              <w:t xml:space="preserve">apps/api</w:t>
            </w:r>
          </w:p>
        </w:tc>
        <w:tc>
          <w:tcPr>
            <w:tcW w:type="dxa" w:w="6780"/>
            <w:tcMar>
              <w:top w:type="dxa" w:w="70"/>
              <w:left w:type="dxa" w:w="100"/>
              <w:bottom w:type="dxa" w:w="70"/>
              <w:right w:type="dxa" w:w="100"/>
            </w:tcMar>
            <w:vAlign w:val="center"/>
          </w:tcPr>
          <w:p>
            <w:pPr>
              <w:jc w:val="center"/>
            </w:pPr>
            <w:r>
              <w:rPr>
                <w:b w:val="false"/>
                <w:bCs w:val="false"/>
                <w:color w:val="000000"/>
                <w:sz w:val="16"/>
                <w:szCs w:val="16"/>
              </w:rPr>
              <w:t xml:space="preserve">Servicio de aplicación en Flask servido por Gunicorn. Contiene el Dockerfile único que alimenta los tres ambientes.</w:t>
            </w:r>
          </w:p>
        </w:tc>
      </w:tr>
      <w:tr>
        <w:trPr>
          <w:cantSplit/>
        </w:trPr>
        <w:tc>
          <w:tcPr>
            <w:tcW w:type="dxa" w:w="2300"/>
            <w:shd w:fill="F2F2F2" w:val="clear"/>
            <w:tcMar>
              <w:top w:type="dxa" w:w="70"/>
              <w:left w:type="dxa" w:w="100"/>
              <w:bottom w:type="dxa" w:w="70"/>
              <w:right w:type="dxa" w:w="100"/>
            </w:tcMar>
            <w:vAlign w:val="center"/>
          </w:tcPr>
          <w:p>
            <w:pPr>
              <w:jc w:val="left"/>
            </w:pPr>
            <w:r>
              <w:rPr>
                <w:b w:val="false"/>
                <w:bCs w:val="false"/>
                <w:color w:val="000000"/>
                <w:sz w:val="16"/>
                <w:szCs w:val="16"/>
              </w:rPr>
              <w:t xml:space="preserve">apps/web</w:t>
            </w:r>
          </w:p>
        </w:tc>
        <w:tc>
          <w:tcPr>
            <w:tcW w:type="dxa" w:w="678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Interfaz de los módulos M01 a M12. Se construye en la siguiente etapa sobre la base ya verificada.</w:t>
            </w:r>
          </w:p>
        </w:tc>
      </w:tr>
      <w:tr>
        <w:trPr>
          <w:cantSplit/>
        </w:trPr>
        <w:tc>
          <w:tcPr>
            <w:tcW w:type="dxa" w:w="2300"/>
            <w:tcMar>
              <w:top w:type="dxa" w:w="70"/>
              <w:left w:type="dxa" w:w="100"/>
              <w:bottom w:type="dxa" w:w="70"/>
              <w:right w:type="dxa" w:w="100"/>
            </w:tcMar>
            <w:vAlign w:val="center"/>
          </w:tcPr>
          <w:p>
            <w:pPr>
              <w:jc w:val="left"/>
            </w:pPr>
            <w:r>
              <w:rPr>
                <w:b w:val="false"/>
                <w:bCs w:val="false"/>
                <w:color w:val="000000"/>
                <w:sz w:val="16"/>
                <w:szCs w:val="16"/>
              </w:rPr>
              <w:t xml:space="preserve">db/esquema</w:t>
            </w:r>
          </w:p>
        </w:tc>
        <w:tc>
          <w:tcPr>
            <w:tcW w:type="dxa" w:w="6780"/>
            <w:tcMar>
              <w:top w:type="dxa" w:w="70"/>
              <w:left w:type="dxa" w:w="100"/>
              <w:bottom w:type="dxa" w:w="70"/>
              <w:right w:type="dxa" w:w="100"/>
            </w:tcMar>
            <w:vAlign w:val="center"/>
          </w:tcPr>
          <w:p>
            <w:pPr>
              <w:jc w:val="center"/>
            </w:pPr>
            <w:r>
              <w:rPr>
                <w:b w:val="false"/>
                <w:bCs w:val="false"/>
                <w:color w:val="000000"/>
                <w:sz w:val="16"/>
                <w:szCs w:val="16"/>
              </w:rPr>
              <w:t xml:space="preserve">Cadena de arranque de la base: creación del rol de aplicación, esquema completo con el mecanismo de privacidad diferencial, y otorgamiento de permisos de menor privilegio.</w:t>
            </w:r>
          </w:p>
        </w:tc>
      </w:tr>
      <w:tr>
        <w:trPr>
          <w:cantSplit/>
        </w:trPr>
        <w:tc>
          <w:tcPr>
            <w:tcW w:type="dxa" w:w="2300"/>
            <w:shd w:fill="F2F2F2" w:val="clear"/>
            <w:tcMar>
              <w:top w:type="dxa" w:w="70"/>
              <w:left w:type="dxa" w:w="100"/>
              <w:bottom w:type="dxa" w:w="70"/>
              <w:right w:type="dxa" w:w="100"/>
            </w:tcMar>
            <w:vAlign w:val="center"/>
          </w:tcPr>
          <w:p>
            <w:pPr>
              <w:jc w:val="left"/>
            </w:pPr>
            <w:r>
              <w:rPr>
                <w:b w:val="false"/>
                <w:bCs w:val="false"/>
                <w:color w:val="000000"/>
                <w:sz w:val="16"/>
                <w:szCs w:val="16"/>
              </w:rPr>
              <w:t xml:space="preserve">db/semilla</w:t>
            </w:r>
          </w:p>
        </w:tc>
        <w:tc>
          <w:tcPr>
            <w:tcW w:type="dxa" w:w="678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Generador de volumen sintético: 1,161 colaboradores en 16 unidades, cuatro campañas, 19,020 reactivos respondidos.</w:t>
            </w:r>
          </w:p>
        </w:tc>
      </w:tr>
      <w:tr>
        <w:trPr>
          <w:cantSplit/>
        </w:trPr>
        <w:tc>
          <w:tcPr>
            <w:tcW w:type="dxa" w:w="2300"/>
            <w:tcMar>
              <w:top w:type="dxa" w:w="70"/>
              <w:left w:type="dxa" w:w="100"/>
              <w:bottom w:type="dxa" w:w="70"/>
              <w:right w:type="dxa" w:w="100"/>
            </w:tcMar>
            <w:vAlign w:val="center"/>
          </w:tcPr>
          <w:p>
            <w:pPr>
              <w:jc w:val="left"/>
            </w:pPr>
            <w:r>
              <w:rPr>
                <w:b w:val="false"/>
                <w:bCs w:val="false"/>
                <w:color w:val="000000"/>
                <w:sz w:val="16"/>
                <w:szCs w:val="16"/>
              </w:rPr>
              <w:t xml:space="preserve">db/migraciones</w:t>
            </w:r>
          </w:p>
        </w:tc>
        <w:tc>
          <w:tcPr>
            <w:tcW w:type="dxa" w:w="6780"/>
            <w:tcMar>
              <w:top w:type="dxa" w:w="70"/>
              <w:left w:type="dxa" w:w="100"/>
              <w:bottom w:type="dxa" w:w="70"/>
              <w:right w:type="dxa" w:w="100"/>
            </w:tcMar>
            <w:vAlign w:val="center"/>
          </w:tcPr>
          <w:p>
            <w:pPr>
              <w:jc w:val="center"/>
            </w:pPr>
            <w:r>
              <w:rPr>
                <w:b w:val="false"/>
                <w:bCs w:val="false"/>
                <w:color w:val="000000"/>
                <w:sz w:val="16"/>
                <w:szCs w:val="16"/>
              </w:rPr>
              <w:t xml:space="preserve">Cambios de estructura posteriores al esquema base, numerados y versionados.</w:t>
            </w:r>
          </w:p>
        </w:tc>
      </w:tr>
      <w:tr>
        <w:trPr>
          <w:cantSplit/>
        </w:trPr>
        <w:tc>
          <w:tcPr>
            <w:tcW w:type="dxa" w:w="2300"/>
            <w:shd w:fill="F2F2F2" w:val="clear"/>
            <w:tcMar>
              <w:top w:type="dxa" w:w="70"/>
              <w:left w:type="dxa" w:w="100"/>
              <w:bottom w:type="dxa" w:w="70"/>
              <w:right w:type="dxa" w:w="100"/>
            </w:tcMar>
            <w:vAlign w:val="center"/>
          </w:tcPr>
          <w:p>
            <w:pPr>
              <w:jc w:val="left"/>
            </w:pPr>
            <w:r>
              <w:rPr>
                <w:b w:val="false"/>
                <w:bCs w:val="false"/>
                <w:color w:val="000000"/>
                <w:sz w:val="16"/>
                <w:szCs w:val="16"/>
              </w:rPr>
              <w:t xml:space="preserve">infra/compose</w:t>
            </w:r>
          </w:p>
        </w:tc>
        <w:tc>
          <w:tcPr>
            <w:tcW w:type="dxa" w:w="678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Un archivo base con lo común y un archivo por ambiente con lo que cambia. Nunca se usa el base solo.</w:t>
            </w:r>
          </w:p>
        </w:tc>
      </w:tr>
      <w:tr>
        <w:trPr>
          <w:cantSplit/>
        </w:trPr>
        <w:tc>
          <w:tcPr>
            <w:tcW w:type="dxa" w:w="2300"/>
            <w:tcMar>
              <w:top w:type="dxa" w:w="70"/>
              <w:left w:type="dxa" w:w="100"/>
              <w:bottom w:type="dxa" w:w="70"/>
              <w:right w:type="dxa" w:w="100"/>
            </w:tcMar>
            <w:vAlign w:val="center"/>
          </w:tcPr>
          <w:p>
            <w:pPr>
              <w:jc w:val="left"/>
            </w:pPr>
            <w:r>
              <w:rPr>
                <w:b w:val="false"/>
                <w:bCs w:val="false"/>
                <w:color w:val="000000"/>
                <w:sz w:val="16"/>
                <w:szCs w:val="16"/>
              </w:rPr>
              <w:t xml:space="preserve">infra/ambientes</w:t>
            </w:r>
          </w:p>
        </w:tc>
        <w:tc>
          <w:tcPr>
            <w:tcW w:type="dxa" w:w="6780"/>
            <w:tcMar>
              <w:top w:type="dxa" w:w="70"/>
              <w:left w:type="dxa" w:w="100"/>
              <w:bottom w:type="dxa" w:w="70"/>
              <w:right w:type="dxa" w:w="100"/>
            </w:tcMar>
            <w:vAlign w:val="center"/>
          </w:tcPr>
          <w:p>
            <w:pPr>
              <w:jc w:val="center"/>
            </w:pPr>
            <w:r>
              <w:rPr>
                <w:b w:val="false"/>
                <w:bCs w:val="false"/>
                <w:color w:val="000000"/>
                <w:sz w:val="16"/>
                <w:szCs w:val="16"/>
              </w:rPr>
              <w:t xml:space="preserve">Plantillas de variables de entorno. Los archivos con valores reales están excluidos del control de versiones.</w:t>
            </w:r>
          </w:p>
        </w:tc>
      </w:tr>
      <w:tr>
        <w:trPr>
          <w:cantSplit/>
        </w:trPr>
        <w:tc>
          <w:tcPr>
            <w:tcW w:type="dxa" w:w="2300"/>
            <w:shd w:fill="F2F2F2" w:val="clear"/>
            <w:tcMar>
              <w:top w:type="dxa" w:w="70"/>
              <w:left w:type="dxa" w:w="100"/>
              <w:bottom w:type="dxa" w:w="70"/>
              <w:right w:type="dxa" w:w="100"/>
            </w:tcMar>
            <w:vAlign w:val="center"/>
          </w:tcPr>
          <w:p>
            <w:pPr>
              <w:jc w:val="left"/>
            </w:pPr>
            <w:r>
              <w:rPr>
                <w:b w:val="false"/>
                <w:bCs w:val="false"/>
                <w:color w:val="000000"/>
                <w:sz w:val="16"/>
                <w:szCs w:val="16"/>
              </w:rPr>
              <w:t xml:space="preserve">infra/nginx</w:t>
            </w:r>
          </w:p>
        </w:tc>
        <w:tc>
          <w:tcPr>
            <w:tcW w:type="dxa" w:w="678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Configuración del proxy de staging y production, incluidos los encabezados de seguridad.</w:t>
            </w:r>
          </w:p>
        </w:tc>
      </w:tr>
      <w:tr>
        <w:trPr>
          <w:cantSplit/>
        </w:trPr>
        <w:tc>
          <w:tcPr>
            <w:tcW w:type="dxa" w:w="2300"/>
            <w:tcMar>
              <w:top w:type="dxa" w:w="70"/>
              <w:left w:type="dxa" w:w="100"/>
              <w:bottom w:type="dxa" w:w="70"/>
              <w:right w:type="dxa" w:w="100"/>
            </w:tcMar>
            <w:vAlign w:val="center"/>
          </w:tcPr>
          <w:p>
            <w:pPr>
              <w:jc w:val="left"/>
            </w:pPr>
            <w:r>
              <w:rPr>
                <w:b w:val="false"/>
                <w:bCs w:val="false"/>
                <w:color w:val="000000"/>
                <w:sz w:val="16"/>
                <w:szCs w:val="16"/>
              </w:rPr>
              <w:t xml:space="preserve">infra/secretos</w:t>
            </w:r>
          </w:p>
        </w:tc>
        <w:tc>
          <w:tcPr>
            <w:tcW w:type="dxa" w:w="6780"/>
            <w:tcMar>
              <w:top w:type="dxa" w:w="70"/>
              <w:left w:type="dxa" w:w="100"/>
              <w:bottom w:type="dxa" w:w="70"/>
              <w:right w:type="dxa" w:w="100"/>
            </w:tcMar>
            <w:vAlign w:val="center"/>
          </w:tcPr>
          <w:p>
            <w:pPr>
              <w:jc w:val="center"/>
            </w:pPr>
            <w:r>
              <w:rPr>
                <w:b w:val="false"/>
                <w:bCs w:val="false"/>
                <w:color w:val="000000"/>
                <w:sz w:val="16"/>
                <w:szCs w:val="16"/>
              </w:rPr>
              <w:t xml:space="preserve">Vacío en el repositorio por diseño. Los secretos se inyectan al desplegar.</w:t>
            </w:r>
          </w:p>
        </w:tc>
      </w:tr>
      <w:tr>
        <w:trPr>
          <w:cantSplit/>
        </w:trPr>
        <w:tc>
          <w:tcPr>
            <w:tcW w:type="dxa" w:w="2300"/>
            <w:shd w:fill="F2F2F2" w:val="clear"/>
            <w:tcMar>
              <w:top w:type="dxa" w:w="70"/>
              <w:left w:type="dxa" w:w="100"/>
              <w:bottom w:type="dxa" w:w="70"/>
              <w:right w:type="dxa" w:w="100"/>
            </w:tcMar>
            <w:vAlign w:val="center"/>
          </w:tcPr>
          <w:p>
            <w:pPr>
              <w:jc w:val="left"/>
            </w:pPr>
            <w:r>
              <w:rPr>
                <w:b w:val="false"/>
                <w:bCs w:val="false"/>
                <w:color w:val="000000"/>
                <w:sz w:val="16"/>
                <w:szCs w:val="16"/>
              </w:rPr>
              <w:t xml:space="preserve">scripts</w:t>
            </w:r>
          </w:p>
        </w:tc>
        <w:tc>
          <w:tcPr>
            <w:tcW w:type="dxa" w:w="678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Operación de ambientes, prueba de humo y carga de la base sin Docker.</w:t>
            </w:r>
          </w:p>
        </w:tc>
      </w:tr>
      <w:tr>
        <w:trPr>
          <w:cantSplit/>
        </w:trPr>
        <w:tc>
          <w:tcPr>
            <w:tcW w:type="dxa" w:w="2300"/>
            <w:tcMar>
              <w:top w:type="dxa" w:w="70"/>
              <w:left w:type="dxa" w:w="100"/>
              <w:bottom w:type="dxa" w:w="70"/>
              <w:right w:type="dxa" w:w="100"/>
            </w:tcMar>
            <w:vAlign w:val="center"/>
          </w:tcPr>
          <w:p>
            <w:pPr>
              <w:jc w:val="left"/>
            </w:pPr>
            <w:r>
              <w:rPr>
                <w:b w:val="false"/>
                <w:bCs w:val="false"/>
                <w:color w:val="000000"/>
                <w:sz w:val="16"/>
                <w:szCs w:val="16"/>
              </w:rPr>
              <w:t xml:space="preserve">docs</w:t>
            </w:r>
          </w:p>
        </w:tc>
        <w:tc>
          <w:tcPr>
            <w:tcW w:type="dxa" w:w="6780"/>
            <w:tcMar>
              <w:top w:type="dxa" w:w="70"/>
              <w:left w:type="dxa" w:w="100"/>
              <w:bottom w:type="dxa" w:w="70"/>
              <w:right w:type="dxa" w:w="100"/>
            </w:tcMar>
            <w:vAlign w:val="center"/>
          </w:tcPr>
          <w:p>
            <w:pPr>
              <w:jc w:val="center"/>
            </w:pPr>
            <w:r>
              <w:rPr>
                <w:b w:val="false"/>
                <w:bCs w:val="false"/>
                <w:color w:val="000000"/>
                <w:sz w:val="16"/>
                <w:szCs w:val="16"/>
              </w:rPr>
              <w:t xml:space="preserve">Documentación del proyecto.</w:t>
            </w:r>
          </w:p>
        </w:tc>
      </w:tr>
    </w:tbl>
    <w:p>
      <w:pPr>
        <w:pStyle w:val="Heading2"/>
        <w:spacing w:after="120" w:before="240"/>
      </w:pPr>
      <w:r>
        <w:t xml:space="preserve">3.1 Qué no está en el repositorio</w:t>
      </w:r>
    </w:p>
    <w:p>
      <w:pPr>
        <w:spacing w:after="160"/>
        <w:jc w:val="both"/>
      </w:pPr>
      <w:r>
        <w:t xml:space="preserve">Tres cosas quedan fuera a propósito, y el archivo .gitignore lo hace cumplir:</w:t>
      </w:r>
    </w:p>
    <w:p>
      <w:pPr>
        <w:pStyle w:val="ListParagraph"/>
        <w:numPr>
          <w:ilvl w:val="0"/>
          <w:numId w:val="1"/>
        </w:numPr>
        <w:spacing w:after="80"/>
      </w:pPr>
      <w:r>
        <w:t xml:space="preserve">Los archivos de variables con valores reales. Solo se versionan las plantillas terminadas en .ejemplo.</w:t>
      </w:r>
    </w:p>
    <w:p>
      <w:pPr>
        <w:pStyle w:val="ListParagraph"/>
        <w:numPr>
          <w:ilvl w:val="0"/>
          <w:numId w:val="1"/>
        </w:numPr>
        <w:spacing w:after="80"/>
      </w:pPr>
      <w:r>
        <w:t xml:space="preserve">Los secretos y los certificados. La carpeta infra/secretos contiene únicamente un archivo de instrucciones.</w:t>
      </w:r>
    </w:p>
    <w:p>
      <w:pPr>
        <w:pStyle w:val="ListParagraph"/>
        <w:numPr>
          <w:ilvl w:val="0"/>
          <w:numId w:val="1"/>
        </w:numPr>
        <w:spacing w:after="80"/>
      </w:pPr>
      <w:r>
        <w:t xml:space="preserve">Cualquier volcado de datos de la organización. El único volumen de datos versionado es el generador sintético.</w:t>
      </w:r>
    </w:p>
    <w:p>
      <w:pPr>
        <w:spacing w:after="160"/>
        <w:jc w:val="both"/>
      </w:pPr>
      <w:r>
        <w:rPr>
          <w:b/>
          <w:bCs/>
          <w:i w:val="false"/>
          <w:iCs w:val="false"/>
        </w:rPr>
        <w:t xml:space="preserve">Consecuencia práctica: </w:t>
      </w:r>
      <w:r>
        <w:rPr>
          <w:b w:val="false"/>
          <w:bCs w:val="false"/>
          <w:i w:val="false"/>
          <w:iCs w:val="false"/>
        </w:rPr>
        <w:t xml:space="preserve">si el repositorio se hiciera público por accidente, no habría ninguna credencial que rotar ni ningún dato personal expuesto. Es una decisión barata de tomar al inicio y muy cara de corregir después.</w:t>
      </w:r>
    </w:p>
    <w:p>
      <w:pPr>
        <w:pStyle w:val="Heading1"/>
        <w:spacing w:after="160" w:before="320"/>
      </w:pPr>
      <w:r>
        <w:t xml:space="preserve">4. Los tres ambientes</w:t>
      </w:r>
    </w:p>
    <w:p>
      <w:pPr>
        <w:spacing w:after="160"/>
        <w:jc w:val="both"/>
      </w:pPr>
      <w:r>
        <w:t xml:space="preserve">Los tres ambientes ejecutan la misma imagen de contenedor. Lo único que cambia son las variables de entorno que se le inyectan. Esa es la propiedad que permite afirmar que lo probado en staging es lo que corre en production: no es una afirmación de proceso, es una consecuencia de que el artefacto sea el mismo.</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850"/>
        <w:gridCol w:w="2350"/>
        <w:gridCol w:w="2350"/>
        <w:gridCol w:w="2530"/>
      </w:tblGrid>
      <w:tr>
        <w:trPr>
          <w:tblHeader/>
        </w:trPr>
        <w:tc>
          <w:tcPr>
            <w:tcW w:type="dxa" w:w="1850"/>
            <w:shd w:fill="1F3864" w:val="clear"/>
            <w:tcMar>
              <w:top w:type="dxa" w:w="70"/>
              <w:left w:type="dxa" w:w="100"/>
              <w:bottom w:type="dxa" w:w="70"/>
              <w:right w:type="dxa" w:w="100"/>
            </w:tcMar>
            <w:vAlign w:val="center"/>
          </w:tcPr>
          <w:p>
            <w:pPr>
              <w:jc w:val="center"/>
            </w:pPr>
            <w:r>
              <w:rPr>
                <w:b/>
                <w:bCs/>
                <w:color w:val="FFFFFF"/>
                <w:sz w:val="17"/>
                <w:szCs w:val="17"/>
              </w:rPr>
              <w:t xml:space="preserve">Aspecto</w:t>
            </w:r>
          </w:p>
        </w:tc>
        <w:tc>
          <w:tcPr>
            <w:tcW w:type="dxa" w:w="2350"/>
            <w:shd w:fill="1F3864" w:val="clear"/>
            <w:tcMar>
              <w:top w:type="dxa" w:w="70"/>
              <w:left w:type="dxa" w:w="100"/>
              <w:bottom w:type="dxa" w:w="70"/>
              <w:right w:type="dxa" w:w="100"/>
            </w:tcMar>
            <w:vAlign w:val="center"/>
          </w:tcPr>
          <w:p>
            <w:pPr>
              <w:jc w:val="center"/>
            </w:pPr>
            <w:r>
              <w:rPr>
                <w:b/>
                <w:bCs/>
                <w:color w:val="FFFFFF"/>
                <w:sz w:val="17"/>
                <w:szCs w:val="17"/>
              </w:rPr>
              <w:t xml:space="preserve">developer</w:t>
            </w:r>
          </w:p>
        </w:tc>
        <w:tc>
          <w:tcPr>
            <w:tcW w:type="dxa" w:w="2350"/>
            <w:shd w:fill="1F3864" w:val="clear"/>
            <w:tcMar>
              <w:top w:type="dxa" w:w="70"/>
              <w:left w:type="dxa" w:w="100"/>
              <w:bottom w:type="dxa" w:w="70"/>
              <w:right w:type="dxa" w:w="100"/>
            </w:tcMar>
            <w:vAlign w:val="center"/>
          </w:tcPr>
          <w:p>
            <w:pPr>
              <w:jc w:val="center"/>
            </w:pPr>
            <w:r>
              <w:rPr>
                <w:b/>
                <w:bCs/>
                <w:color w:val="FFFFFF"/>
                <w:sz w:val="17"/>
                <w:szCs w:val="17"/>
              </w:rPr>
              <w:t xml:space="preserve">staging</w:t>
            </w:r>
          </w:p>
        </w:tc>
        <w:tc>
          <w:tcPr>
            <w:tcW w:type="dxa" w:w="2530"/>
            <w:shd w:fill="1F3864" w:val="clear"/>
            <w:tcMar>
              <w:top w:type="dxa" w:w="70"/>
              <w:left w:type="dxa" w:w="100"/>
              <w:bottom w:type="dxa" w:w="70"/>
              <w:right w:type="dxa" w:w="100"/>
            </w:tcMar>
            <w:vAlign w:val="center"/>
          </w:tcPr>
          <w:p>
            <w:pPr>
              <w:jc w:val="center"/>
            </w:pPr>
            <w:r>
              <w:rPr>
                <w:b/>
                <w:bCs/>
                <w:color w:val="FFFFFF"/>
                <w:sz w:val="17"/>
                <w:szCs w:val="17"/>
              </w:rPr>
              <w:t xml:space="preserve">production</w:t>
            </w:r>
          </w:p>
        </w:tc>
      </w:tr>
      <w:tr>
        <w:trPr>
          <w:cantSplit/>
        </w:trPr>
        <w:tc>
          <w:tcPr>
            <w:tcW w:type="dxa" w:w="1850"/>
            <w:tcMar>
              <w:top w:type="dxa" w:w="70"/>
              <w:left w:type="dxa" w:w="100"/>
              <w:bottom w:type="dxa" w:w="70"/>
              <w:right w:type="dxa" w:w="100"/>
            </w:tcMar>
            <w:vAlign w:val="center"/>
          </w:tcPr>
          <w:p>
            <w:pPr>
              <w:jc w:val="left"/>
            </w:pPr>
            <w:r>
              <w:rPr>
                <w:b w:val="false"/>
                <w:bCs w:val="false"/>
                <w:color w:val="000000"/>
                <w:sz w:val="16"/>
                <w:szCs w:val="16"/>
              </w:rPr>
              <w:t xml:space="preserve">Dónde corre</w:t>
            </w:r>
          </w:p>
        </w:tc>
        <w:tc>
          <w:tcPr>
            <w:tcW w:type="dxa" w:w="2350"/>
            <w:tcMar>
              <w:top w:type="dxa" w:w="70"/>
              <w:left w:type="dxa" w:w="100"/>
              <w:bottom w:type="dxa" w:w="70"/>
              <w:right w:type="dxa" w:w="100"/>
            </w:tcMar>
            <w:vAlign w:val="center"/>
          </w:tcPr>
          <w:p>
            <w:pPr>
              <w:jc w:val="center"/>
            </w:pPr>
            <w:r>
              <w:rPr>
                <w:b w:val="false"/>
                <w:bCs w:val="false"/>
                <w:color w:val="000000"/>
                <w:sz w:val="16"/>
                <w:szCs w:val="16"/>
              </w:rPr>
              <w:t xml:space="preserve">Máquina de cada integrante</w:t>
            </w:r>
          </w:p>
        </w:tc>
        <w:tc>
          <w:tcPr>
            <w:tcW w:type="dxa" w:w="2350"/>
            <w:tcMar>
              <w:top w:type="dxa" w:w="70"/>
              <w:left w:type="dxa" w:w="100"/>
              <w:bottom w:type="dxa" w:w="70"/>
              <w:right w:type="dxa" w:w="100"/>
            </w:tcMar>
            <w:vAlign w:val="center"/>
          </w:tcPr>
          <w:p>
            <w:pPr>
              <w:jc w:val="center"/>
            </w:pPr>
            <w:r>
              <w:rPr>
                <w:b w:val="false"/>
                <w:bCs w:val="false"/>
                <w:color w:val="000000"/>
                <w:sz w:val="16"/>
                <w:szCs w:val="16"/>
              </w:rPr>
              <w:t xml:space="preserve">Una VM e2-small</w:t>
            </w:r>
          </w:p>
        </w:tc>
        <w:tc>
          <w:tcPr>
            <w:tcW w:type="dxa" w:w="2530"/>
            <w:tcMar>
              <w:top w:type="dxa" w:w="70"/>
              <w:left w:type="dxa" w:w="100"/>
              <w:bottom w:type="dxa" w:w="70"/>
              <w:right w:type="dxa" w:w="100"/>
            </w:tcMar>
            <w:vAlign w:val="center"/>
          </w:tcPr>
          <w:p>
            <w:pPr>
              <w:jc w:val="center"/>
            </w:pPr>
            <w:r>
              <w:rPr>
                <w:b w:val="false"/>
                <w:bCs w:val="false"/>
                <w:color w:val="000000"/>
                <w:sz w:val="16"/>
                <w:szCs w:val="16"/>
              </w:rPr>
              <w:t xml:space="preserve">VM e2-small + VM e2-medium</w:t>
            </w:r>
          </w:p>
        </w:tc>
      </w:tr>
      <w:tr>
        <w:trPr>
          <w:cantSplit/>
        </w:trPr>
        <w:tc>
          <w:tcPr>
            <w:tcW w:type="dxa" w:w="1850"/>
            <w:shd w:fill="F2F2F2" w:val="clear"/>
            <w:tcMar>
              <w:top w:type="dxa" w:w="70"/>
              <w:left w:type="dxa" w:w="100"/>
              <w:bottom w:type="dxa" w:w="70"/>
              <w:right w:type="dxa" w:w="100"/>
            </w:tcMar>
            <w:vAlign w:val="center"/>
          </w:tcPr>
          <w:p>
            <w:pPr>
              <w:jc w:val="left"/>
            </w:pPr>
            <w:r>
              <w:rPr>
                <w:b w:val="false"/>
                <w:bCs w:val="false"/>
                <w:color w:val="000000"/>
                <w:sz w:val="16"/>
                <w:szCs w:val="16"/>
              </w:rPr>
              <w:t xml:space="preserve">Datos</w:t>
            </w:r>
          </w:p>
        </w:tc>
        <w:tc>
          <w:tcPr>
            <w:tcW w:type="dxa" w:w="235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Sintéticos por script</w:t>
            </w:r>
          </w:p>
        </w:tc>
        <w:tc>
          <w:tcPr>
            <w:tcW w:type="dxa" w:w="235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Copia anonimizada</w:t>
            </w:r>
          </w:p>
        </w:tc>
        <w:tc>
          <w:tcPr>
            <w:tcW w:type="dxa" w:w="253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Reales de la organización</w:t>
            </w:r>
          </w:p>
        </w:tc>
      </w:tr>
      <w:tr>
        <w:trPr>
          <w:cantSplit/>
        </w:trPr>
        <w:tc>
          <w:tcPr>
            <w:tcW w:type="dxa" w:w="1850"/>
            <w:tcMar>
              <w:top w:type="dxa" w:w="70"/>
              <w:left w:type="dxa" w:w="100"/>
              <w:bottom w:type="dxa" w:w="70"/>
              <w:right w:type="dxa" w:w="100"/>
            </w:tcMar>
            <w:vAlign w:val="center"/>
          </w:tcPr>
          <w:p>
            <w:pPr>
              <w:jc w:val="left"/>
            </w:pPr>
            <w:r>
              <w:rPr>
                <w:b w:val="false"/>
                <w:bCs w:val="false"/>
                <w:color w:val="000000"/>
                <w:sz w:val="16"/>
                <w:szCs w:val="16"/>
              </w:rPr>
              <w:t xml:space="preserve">Puerto de PostgreSQL</w:t>
            </w:r>
          </w:p>
        </w:tc>
        <w:tc>
          <w:tcPr>
            <w:tcW w:type="dxa" w:w="2350"/>
            <w:tcMar>
              <w:top w:type="dxa" w:w="70"/>
              <w:left w:type="dxa" w:w="100"/>
              <w:bottom w:type="dxa" w:w="70"/>
              <w:right w:type="dxa" w:w="100"/>
            </w:tcMar>
            <w:vAlign w:val="center"/>
          </w:tcPr>
          <w:p>
            <w:pPr>
              <w:jc w:val="center"/>
            </w:pPr>
            <w:r>
              <w:rPr>
                <w:b w:val="false"/>
                <w:bCs w:val="false"/>
                <w:color w:val="000000"/>
                <w:sz w:val="16"/>
                <w:szCs w:val="16"/>
              </w:rPr>
              <w:t xml:space="preserve">Publicado (5432)</w:t>
            </w:r>
          </w:p>
        </w:tc>
        <w:tc>
          <w:tcPr>
            <w:tcW w:type="dxa" w:w="2350"/>
            <w:tcMar>
              <w:top w:type="dxa" w:w="70"/>
              <w:left w:type="dxa" w:w="100"/>
              <w:bottom w:type="dxa" w:w="70"/>
              <w:right w:type="dxa" w:w="100"/>
            </w:tcMar>
            <w:vAlign w:val="center"/>
          </w:tcPr>
          <w:p>
            <w:pPr>
              <w:jc w:val="center"/>
            </w:pPr>
            <w:r>
              <w:rPr>
                <w:b w:val="false"/>
                <w:bCs w:val="false"/>
                <w:color w:val="000000"/>
                <w:sz w:val="16"/>
                <w:szCs w:val="16"/>
              </w:rPr>
              <w:t xml:space="preserve">No publicado</w:t>
            </w:r>
          </w:p>
        </w:tc>
        <w:tc>
          <w:tcPr>
            <w:tcW w:type="dxa" w:w="2530"/>
            <w:tcMar>
              <w:top w:type="dxa" w:w="70"/>
              <w:left w:type="dxa" w:w="100"/>
              <w:bottom w:type="dxa" w:w="70"/>
              <w:right w:type="dxa" w:w="100"/>
            </w:tcMar>
            <w:vAlign w:val="center"/>
          </w:tcPr>
          <w:p>
            <w:pPr>
              <w:jc w:val="center"/>
            </w:pPr>
            <w:r>
              <w:rPr>
                <w:b w:val="false"/>
                <w:bCs w:val="false"/>
                <w:color w:val="000000"/>
                <w:sz w:val="16"/>
                <w:szCs w:val="16"/>
              </w:rPr>
              <w:t xml:space="preserve">No publicado</w:t>
            </w:r>
          </w:p>
        </w:tc>
      </w:tr>
      <w:tr>
        <w:trPr>
          <w:cantSplit/>
        </w:trPr>
        <w:tc>
          <w:tcPr>
            <w:tcW w:type="dxa" w:w="1850"/>
            <w:shd w:fill="F2F2F2" w:val="clear"/>
            <w:tcMar>
              <w:top w:type="dxa" w:w="70"/>
              <w:left w:type="dxa" w:w="100"/>
              <w:bottom w:type="dxa" w:w="70"/>
              <w:right w:type="dxa" w:w="100"/>
            </w:tcMar>
            <w:vAlign w:val="center"/>
          </w:tcPr>
          <w:p>
            <w:pPr>
              <w:jc w:val="left"/>
            </w:pPr>
            <w:r>
              <w:rPr>
                <w:b w:val="false"/>
                <w:bCs w:val="false"/>
                <w:color w:val="000000"/>
                <w:sz w:val="16"/>
                <w:szCs w:val="16"/>
              </w:rPr>
              <w:t xml:space="preserve">Procesos de Gunicorn</w:t>
            </w:r>
          </w:p>
        </w:tc>
        <w:tc>
          <w:tcPr>
            <w:tcW w:type="dxa" w:w="235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1, con recarga</w:t>
            </w:r>
          </w:p>
        </w:tc>
        <w:tc>
          <w:tcPr>
            <w:tcW w:type="dxa" w:w="235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1</w:t>
            </w:r>
          </w:p>
        </w:tc>
        <w:tc>
          <w:tcPr>
            <w:tcW w:type="dxa" w:w="253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4</w:t>
            </w:r>
          </w:p>
        </w:tc>
      </w:tr>
      <w:tr>
        <w:trPr>
          <w:cantSplit/>
        </w:trPr>
        <w:tc>
          <w:tcPr>
            <w:tcW w:type="dxa" w:w="1850"/>
            <w:tcMar>
              <w:top w:type="dxa" w:w="70"/>
              <w:left w:type="dxa" w:w="100"/>
              <w:bottom w:type="dxa" w:w="70"/>
              <w:right w:type="dxa" w:w="100"/>
            </w:tcMar>
            <w:vAlign w:val="center"/>
          </w:tcPr>
          <w:p>
            <w:pPr>
              <w:jc w:val="left"/>
            </w:pPr>
            <w:r>
              <w:rPr>
                <w:b w:val="false"/>
                <w:bCs w:val="false"/>
                <w:color w:val="000000"/>
                <w:sz w:val="16"/>
                <w:szCs w:val="16"/>
              </w:rPr>
              <w:t xml:space="preserve">Detalle de error al cliente</w:t>
            </w:r>
          </w:p>
        </w:tc>
        <w:tc>
          <w:tcPr>
            <w:tcW w:type="dxa" w:w="2350"/>
            <w:tcMar>
              <w:top w:type="dxa" w:w="70"/>
              <w:left w:type="dxa" w:w="100"/>
              <w:bottom w:type="dxa" w:w="70"/>
              <w:right w:type="dxa" w:w="100"/>
            </w:tcMar>
            <w:vAlign w:val="center"/>
          </w:tcPr>
          <w:p>
            <w:pPr>
              <w:jc w:val="center"/>
            </w:pPr>
            <w:r>
              <w:rPr>
                <w:b w:val="false"/>
                <w:bCs w:val="false"/>
                <w:color w:val="000000"/>
                <w:sz w:val="16"/>
                <w:szCs w:val="16"/>
              </w:rPr>
              <w:t xml:space="preserve">Sí</w:t>
            </w:r>
          </w:p>
        </w:tc>
        <w:tc>
          <w:tcPr>
            <w:tcW w:type="dxa" w:w="2350"/>
            <w:tcMar>
              <w:top w:type="dxa" w:w="70"/>
              <w:left w:type="dxa" w:w="100"/>
              <w:bottom w:type="dxa" w:w="70"/>
              <w:right w:type="dxa" w:w="100"/>
            </w:tcMar>
            <w:vAlign w:val="center"/>
          </w:tcPr>
          <w:p>
            <w:pPr>
              <w:jc w:val="center"/>
            </w:pPr>
            <w:r>
              <w:rPr>
                <w:b w:val="false"/>
                <w:bCs w:val="false"/>
                <w:color w:val="000000"/>
                <w:sz w:val="16"/>
                <w:szCs w:val="16"/>
              </w:rPr>
              <w:t xml:space="preserve">No</w:t>
            </w:r>
          </w:p>
        </w:tc>
        <w:tc>
          <w:tcPr>
            <w:tcW w:type="dxa" w:w="2530"/>
            <w:tcMar>
              <w:top w:type="dxa" w:w="70"/>
              <w:left w:type="dxa" w:w="100"/>
              <w:bottom w:type="dxa" w:w="70"/>
              <w:right w:type="dxa" w:w="100"/>
            </w:tcMar>
            <w:vAlign w:val="center"/>
          </w:tcPr>
          <w:p>
            <w:pPr>
              <w:jc w:val="center"/>
            </w:pPr>
            <w:r>
              <w:rPr>
                <w:b w:val="false"/>
                <w:bCs w:val="false"/>
                <w:color w:val="000000"/>
                <w:sz w:val="16"/>
                <w:szCs w:val="16"/>
              </w:rPr>
              <w:t xml:space="preserve">No</w:t>
            </w:r>
          </w:p>
        </w:tc>
      </w:tr>
      <w:tr>
        <w:trPr>
          <w:cantSplit/>
        </w:trPr>
        <w:tc>
          <w:tcPr>
            <w:tcW w:type="dxa" w:w="1850"/>
            <w:shd w:fill="F2F2F2" w:val="clear"/>
            <w:tcMar>
              <w:top w:type="dxa" w:w="70"/>
              <w:left w:type="dxa" w:w="100"/>
              <w:bottom w:type="dxa" w:w="70"/>
              <w:right w:type="dxa" w:w="100"/>
            </w:tcMar>
            <w:vAlign w:val="center"/>
          </w:tcPr>
          <w:p>
            <w:pPr>
              <w:jc w:val="left"/>
            </w:pPr>
            <w:r>
              <w:rPr>
                <w:b w:val="false"/>
                <w:bCs w:val="false"/>
                <w:color w:val="000000"/>
                <w:sz w:val="16"/>
                <w:szCs w:val="16"/>
              </w:rPr>
              <w:t xml:space="preserve">Versión de la imagen</w:t>
            </w:r>
          </w:p>
        </w:tc>
        <w:tc>
          <w:tcPr>
            <w:tcW w:type="dxa" w:w="235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local</w:t>
            </w:r>
          </w:p>
        </w:tc>
        <w:tc>
          <w:tcPr>
            <w:tcW w:type="dxa" w:w="235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Etiqueta</w:t>
            </w:r>
          </w:p>
        </w:tc>
        <w:tc>
          <w:tcPr>
            <w:tcW w:type="dxa" w:w="253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Obligatoria</w:t>
            </w:r>
          </w:p>
        </w:tc>
      </w:tr>
      <w:tr>
        <w:trPr>
          <w:cantSplit/>
        </w:trPr>
        <w:tc>
          <w:tcPr>
            <w:tcW w:type="dxa" w:w="1850"/>
            <w:tcMar>
              <w:top w:type="dxa" w:w="70"/>
              <w:left w:type="dxa" w:w="100"/>
              <w:bottom w:type="dxa" w:w="70"/>
              <w:right w:type="dxa" w:w="100"/>
            </w:tcMar>
            <w:vAlign w:val="center"/>
          </w:tcPr>
          <w:p>
            <w:pPr>
              <w:jc w:val="left"/>
            </w:pPr>
            <w:r>
              <w:rPr>
                <w:b w:val="false"/>
                <w:bCs w:val="false"/>
                <w:color w:val="000000"/>
                <w:sz w:val="16"/>
                <w:szCs w:val="16"/>
              </w:rPr>
              <w:t xml:space="preserve">Respaldo</w:t>
            </w:r>
          </w:p>
        </w:tc>
        <w:tc>
          <w:tcPr>
            <w:tcW w:type="dxa" w:w="2350"/>
            <w:tcMar>
              <w:top w:type="dxa" w:w="70"/>
              <w:left w:type="dxa" w:w="100"/>
              <w:bottom w:type="dxa" w:w="70"/>
              <w:right w:type="dxa" w:w="100"/>
            </w:tcMar>
            <w:vAlign w:val="center"/>
          </w:tcPr>
          <w:p>
            <w:pPr>
              <w:jc w:val="center"/>
            </w:pPr>
            <w:r>
              <w:rPr>
                <w:b w:val="false"/>
                <w:bCs w:val="false"/>
                <w:color w:val="000000"/>
                <w:sz w:val="16"/>
                <w:szCs w:val="16"/>
              </w:rPr>
              <w:t xml:space="preserve">No</w:t>
            </w:r>
          </w:p>
        </w:tc>
        <w:tc>
          <w:tcPr>
            <w:tcW w:type="dxa" w:w="2350"/>
            <w:tcMar>
              <w:top w:type="dxa" w:w="70"/>
              <w:left w:type="dxa" w:w="100"/>
              <w:bottom w:type="dxa" w:w="70"/>
              <w:right w:type="dxa" w:w="100"/>
            </w:tcMar>
            <w:vAlign w:val="center"/>
          </w:tcPr>
          <w:p>
            <w:pPr>
              <w:jc w:val="center"/>
            </w:pPr>
            <w:r>
              <w:rPr>
                <w:b w:val="false"/>
                <w:bCs w:val="false"/>
                <w:color w:val="000000"/>
                <w:sz w:val="16"/>
                <w:szCs w:val="16"/>
              </w:rPr>
              <w:t xml:space="preserve">No</w:t>
            </w:r>
          </w:p>
        </w:tc>
        <w:tc>
          <w:tcPr>
            <w:tcW w:type="dxa" w:w="2530"/>
            <w:tcMar>
              <w:top w:type="dxa" w:w="70"/>
              <w:left w:type="dxa" w:w="100"/>
              <w:bottom w:type="dxa" w:w="70"/>
              <w:right w:type="dxa" w:w="100"/>
            </w:tcMar>
            <w:vAlign w:val="center"/>
          </w:tcPr>
          <w:p>
            <w:pPr>
              <w:jc w:val="center"/>
            </w:pPr>
            <w:r>
              <w:rPr>
                <w:b w:val="false"/>
                <w:bCs w:val="false"/>
                <w:color w:val="000000"/>
                <w:sz w:val="16"/>
                <w:szCs w:val="16"/>
              </w:rPr>
              <w:t xml:space="preserve">Diario, 7 días</w:t>
            </w:r>
          </w:p>
        </w:tc>
      </w:tr>
      <w:tr>
        <w:trPr>
          <w:cantSplit/>
        </w:trPr>
        <w:tc>
          <w:tcPr>
            <w:tcW w:type="dxa" w:w="1850"/>
            <w:shd w:fill="F2F2F2" w:val="clear"/>
            <w:tcMar>
              <w:top w:type="dxa" w:w="70"/>
              <w:left w:type="dxa" w:w="100"/>
              <w:bottom w:type="dxa" w:w="70"/>
              <w:right w:type="dxa" w:w="100"/>
            </w:tcMar>
            <w:vAlign w:val="center"/>
          </w:tcPr>
          <w:p>
            <w:pPr>
              <w:jc w:val="left"/>
            </w:pPr>
            <w:r>
              <w:rPr>
                <w:b w:val="false"/>
                <w:bCs w:val="false"/>
                <w:color w:val="000000"/>
                <w:sz w:val="16"/>
                <w:szCs w:val="16"/>
              </w:rPr>
              <w:t xml:space="preserve">Costo de nube</w:t>
            </w:r>
          </w:p>
        </w:tc>
        <w:tc>
          <w:tcPr>
            <w:tcW w:type="dxa" w:w="235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Ninguno</w:t>
            </w:r>
          </w:p>
        </w:tc>
        <w:tc>
          <w:tcPr>
            <w:tcW w:type="dxa" w:w="235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Se apaga fuera de horario</w:t>
            </w:r>
          </w:p>
        </w:tc>
        <w:tc>
          <w:tcPr>
            <w:tcW w:type="dxa" w:w="253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Continuo</w:t>
            </w:r>
          </w:p>
        </w:tc>
      </w:tr>
    </w:tbl>
    <w:p>
      <w:pPr>
        <w:pStyle w:val="Heading2"/>
        <w:spacing w:after="120" w:before="240"/>
      </w:pPr>
      <w:r>
        <w:t xml:space="preserve">4.1 Por qué existe staging</w:t>
      </w:r>
    </w:p>
    <w:p>
      <w:pPr>
        <w:spacing w:after="160"/>
        <w:jc w:val="both"/>
      </w:pPr>
      <w:r>
        <w:t xml:space="preserve">Staging no es una copia decorativa de production. Existe para que la demostración no sea la primera vez que el sistema corre fuera de una laptop. Los problemas que aparecen al salir de la máquina de desarrollo —resolución de nombres entre contenedores, permisos de archivos, variables que faltan, tiempos de arranque— se descubren ahí, con datos anonimizados y sin consecuencias.</w:t>
      </w:r>
    </w:p>
    <w:p>
      <w:pPr>
        <w:spacing w:after="160"/>
        <w:jc w:val="both"/>
      </w:pPr>
      <w:r>
        <w:t xml:space="preserve">Por eso staging también tiene proxy, aunque sin certificado propio: lo que se prueba es el camino completo de la petición, no el certificado.</w:t>
      </w:r>
    </w:p>
    <w:p>
      <w:pPr>
        <w:spacing w:after="80" w:before="120"/>
        <w:jc w:val="center"/>
      </w:pPr>
      <w:r>
        <w:drawing>
          <wp:inline distT="0" distB="0" distL="0" distR="0">
            <wp:extent cx="5905500" cy="33432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343275"/>
                    </a:xfrm>
                    <a:prstGeom prst="rect">
                      <a:avLst/>
                    </a:prstGeom>
                  </pic:spPr>
                </pic:pic>
              </a:graphicData>
            </a:graphic>
          </wp:inline>
        </w:drawing>
      </w:r>
    </w:p>
    <w:p>
      <w:pPr>
        <w:spacing w:after="240"/>
        <w:jc w:val="center"/>
      </w:pPr>
      <w:r>
        <w:rPr>
          <w:i/>
          <w:iCs/>
          <w:color w:val="808080"/>
          <w:sz w:val="18"/>
          <w:szCs w:val="18"/>
        </w:rPr>
        <w:t xml:space="preserve">Figura 2. Comparación de los tres ambientes.</w:t>
      </w:r>
    </w:p>
    <w:p>
      <w:pPr>
        <w:pStyle w:val="Heading1"/>
        <w:spacing w:after="160" w:before="320"/>
      </w:pPr>
      <w:r>
        <w:t xml:space="preserve">5. Cómo se levanta un ambiente</w:t>
      </w:r>
    </w:p>
    <w:p>
      <w:pPr>
        <w:spacing w:after="160"/>
        <w:jc w:val="both"/>
      </w:pPr>
      <w:r>
        <w:t xml:space="preserve">Un solo comando opera cualquiera de los tres. El script resuelve la combinación de archivos de compose y el archivo de variables correcto, de modo que nadie tenga que recordarla ni pueda equivocarse al escribirla.</w:t>
      </w:r>
    </w:p>
    <w:p>
      <w:pPr>
        <w:pBdr>
          <w:top w:val="single" w:color="CCCCCC" w:sz="4"/>
          <w:left w:val="single" w:color="CCCCCC" w:sz="4"/>
          <w:bottom w:val="single" w:color="CCCCCC" w:sz="4"/>
          <w:right w:val="single" w:color="CCCCCC" w:sz="4"/>
        </w:pBdr>
        <w:shd w:fill="F5F5F5" w:val="clear"/>
        <w:spacing w:after="200"/>
      </w:pPr>
      <w:r>
        <w:rPr>
          <w:rFonts w:ascii="Consolas" w:cs="Consolas" w:eastAsia="Consolas" w:hAnsi="Consolas"/>
          <w:sz w:val="16"/>
          <w:szCs w:val="16"/>
        </w:rPr>
        <w:t xml:space="preserve"># preparar variables la primera vez</w:t>
      </w:r>
      <w:r>
        <w:br/>
      </w:r>
      <w:r>
        <w:rPr>
          <w:rFonts w:ascii="Consolas" w:cs="Consolas" w:eastAsia="Consolas" w:hAnsi="Consolas"/>
          <w:sz w:val="16"/>
          <w:szCs w:val="16"/>
        </w:rPr>
        <w:t xml:space="preserve">cp infra/ambientes/developer.env.ejemplo infra/ambientes/developer.env</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./scripts/ambiente.sh developer arriba       # levanta los tres servicios</w:t>
      </w:r>
      <w:r>
        <w:br/>
      </w:r>
      <w:r>
        <w:rPr>
          <w:rFonts w:ascii="Consolas" w:cs="Consolas" w:eastAsia="Consolas" w:hAnsi="Consolas"/>
          <w:sz w:val="16"/>
          <w:szCs w:val="16"/>
        </w:rPr>
        <w:t xml:space="preserve">./scripts/ambiente.sh developer probar       # prueba de humo de cinco pasos</w:t>
      </w:r>
      <w:r>
        <w:br/>
      </w:r>
      <w:r>
        <w:rPr>
          <w:rFonts w:ascii="Consolas" w:cs="Consolas" w:eastAsia="Consolas" w:hAnsi="Consolas"/>
          <w:sz w:val="16"/>
          <w:szCs w:val="16"/>
        </w:rPr>
        <w:t xml:space="preserve">./scripts/ambiente.sh developer bitacora     # sigue la bitácora</w:t>
      </w:r>
      <w:r>
        <w:br/>
      </w:r>
      <w:r>
        <w:rPr>
          <w:rFonts w:ascii="Consolas" w:cs="Consolas" w:eastAsia="Consolas" w:hAnsi="Consolas"/>
          <w:sz w:val="16"/>
          <w:szCs w:val="16"/>
        </w:rPr>
        <w:t xml:space="preserve">./scripts/ambiente.sh developer abajo        # apaga</w:t>
      </w:r>
      <w:r>
        <w:br/>
      </w:r>
      <w:r>
        <w:rPr>
          <w:rFonts w:ascii="Consolas" w:cs="Consolas" w:eastAsia="Consolas" w:hAnsi="Consolas"/>
          <w:sz w:val="16"/>
          <w:szCs w:val="16"/>
        </w:rPr>
        <w:t xml:space="preserve">./scripts/ambiente.sh developer borrar       # apaga y elimina los datos</w:t>
      </w:r>
    </w:p>
    <w:p>
      <w:pPr>
        <w:spacing w:after="160"/>
        <w:jc w:val="both"/>
      </w:pPr>
      <w:r>
        <w:t xml:space="preserve">El primer arranque crea el volumen de datos y ejecuta la cadena completa: rol de aplicación, esquema, volumen sintético, migración y permisos. Arranques posteriores reutilizan el volumen y no vuelven a ejecutarla.</w:t>
      </w:r>
    </w:p>
    <w:p>
      <w:pPr>
        <w:pStyle w:val="Heading2"/>
        <w:spacing w:after="120" w:before="240"/>
      </w:pPr>
      <w:r>
        <w:t xml:space="preserve">5.1 Orden de la cadena de arranque</w:t>
      </w:r>
    </w:p>
    <w:p>
      <w:pPr>
        <w:spacing w:after="160"/>
        <w:jc w:val="both"/>
      </w:pPr>
      <w:r>
        <w:t xml:space="preserve">El entrypoint de PostgreSQL ejecuta en orden alfabético los archivos de su carpeta de inicialización, y no entra a subdirectorios. Por eso los archivos se montan uno por uno con prefijo numérico, y no como carpeta:</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100"/>
        <w:gridCol w:w="3500"/>
        <w:gridCol w:w="4480"/>
      </w:tblGrid>
      <w:tr>
        <w:trPr>
          <w:tblHeader/>
        </w:trPr>
        <w:tc>
          <w:tcPr>
            <w:tcW w:type="dxa" w:w="1100"/>
            <w:shd w:fill="1F3864" w:val="clear"/>
            <w:tcMar>
              <w:top w:type="dxa" w:w="70"/>
              <w:left w:type="dxa" w:w="100"/>
              <w:bottom w:type="dxa" w:w="70"/>
              <w:right w:type="dxa" w:w="100"/>
            </w:tcMar>
            <w:vAlign w:val="center"/>
          </w:tcPr>
          <w:p>
            <w:pPr>
              <w:jc w:val="center"/>
            </w:pPr>
            <w:r>
              <w:rPr>
                <w:b/>
                <w:bCs/>
                <w:color w:val="FFFFFF"/>
                <w:sz w:val="17"/>
                <w:szCs w:val="17"/>
              </w:rPr>
              <w:t xml:space="preserve">Orden</w:t>
            </w:r>
          </w:p>
        </w:tc>
        <w:tc>
          <w:tcPr>
            <w:tcW w:type="dxa" w:w="3500"/>
            <w:shd w:fill="1F3864" w:val="clear"/>
            <w:tcMar>
              <w:top w:type="dxa" w:w="70"/>
              <w:left w:type="dxa" w:w="100"/>
              <w:bottom w:type="dxa" w:w="70"/>
              <w:right w:type="dxa" w:w="100"/>
            </w:tcMar>
            <w:vAlign w:val="center"/>
          </w:tcPr>
          <w:p>
            <w:pPr>
              <w:jc w:val="center"/>
            </w:pPr>
            <w:r>
              <w:rPr>
                <w:b/>
                <w:bCs/>
                <w:color w:val="FFFFFF"/>
                <w:sz w:val="17"/>
                <w:szCs w:val="17"/>
              </w:rPr>
              <w:t xml:space="preserve">Archivo</w:t>
            </w:r>
          </w:p>
        </w:tc>
        <w:tc>
          <w:tcPr>
            <w:tcW w:type="dxa" w:w="4480"/>
            <w:shd w:fill="1F3864" w:val="clear"/>
            <w:tcMar>
              <w:top w:type="dxa" w:w="70"/>
              <w:left w:type="dxa" w:w="100"/>
              <w:bottom w:type="dxa" w:w="70"/>
              <w:right w:type="dxa" w:w="100"/>
            </w:tcMar>
            <w:vAlign w:val="center"/>
          </w:tcPr>
          <w:p>
            <w:pPr>
              <w:jc w:val="center"/>
            </w:pPr>
            <w:r>
              <w:rPr>
                <w:b/>
                <w:bCs/>
                <w:color w:val="FFFFFF"/>
                <w:sz w:val="17"/>
                <w:szCs w:val="17"/>
              </w:rPr>
              <w:t xml:space="preserve">Qué hace</w:t>
            </w:r>
          </w:p>
        </w:tc>
      </w:tr>
      <w:tr>
        <w:trPr>
          <w:cantSplit/>
        </w:trPr>
        <w:tc>
          <w:tcPr>
            <w:tcW w:type="dxa" w:w="1100"/>
            <w:tcMar>
              <w:top w:type="dxa" w:w="70"/>
              <w:left w:type="dxa" w:w="100"/>
              <w:bottom w:type="dxa" w:w="70"/>
              <w:right w:type="dxa" w:w="100"/>
            </w:tcMar>
            <w:vAlign w:val="center"/>
          </w:tcPr>
          <w:p>
            <w:pPr>
              <w:jc w:val="left"/>
            </w:pPr>
            <w:r>
              <w:rPr>
                <w:b w:val="false"/>
                <w:bCs w:val="false"/>
                <w:color w:val="000000"/>
                <w:sz w:val="16"/>
                <w:szCs w:val="16"/>
              </w:rPr>
              <w:t xml:space="preserve">00</w:t>
            </w:r>
          </w:p>
        </w:tc>
        <w:tc>
          <w:tcPr>
            <w:tcW w:type="dxa" w:w="3500"/>
            <w:tcMar>
              <w:top w:type="dxa" w:w="70"/>
              <w:left w:type="dxa" w:w="100"/>
              <w:bottom w:type="dxa" w:w="70"/>
              <w:right w:type="dxa" w:w="100"/>
            </w:tcMar>
            <w:vAlign w:val="center"/>
          </w:tcPr>
          <w:p>
            <w:pPr>
              <w:jc w:val="center"/>
            </w:pPr>
            <w:r>
              <w:rPr>
                <w:b w:val="false"/>
                <w:bCs w:val="false"/>
                <w:color w:val="000000"/>
                <w:sz w:val="16"/>
                <w:szCs w:val="16"/>
              </w:rPr>
              <w:t xml:space="preserve">00_rol_aplicacion.sh</w:t>
            </w:r>
          </w:p>
        </w:tc>
        <w:tc>
          <w:tcPr>
            <w:tcW w:type="dxa" w:w="4480"/>
            <w:tcMar>
              <w:top w:type="dxa" w:w="70"/>
              <w:left w:type="dxa" w:w="100"/>
              <w:bottom w:type="dxa" w:w="70"/>
              <w:right w:type="dxa" w:w="100"/>
            </w:tcMar>
            <w:vAlign w:val="center"/>
          </w:tcPr>
          <w:p>
            <w:pPr>
              <w:jc w:val="center"/>
            </w:pPr>
            <w:r>
              <w:rPr>
                <w:b w:val="false"/>
                <w:bCs w:val="false"/>
                <w:color w:val="000000"/>
                <w:sz w:val="16"/>
                <w:szCs w:val="16"/>
              </w:rPr>
              <w:t xml:space="preserve">Crea el rol con el que se conecta la aplicación, sin privilegios todavía.</w:t>
            </w:r>
          </w:p>
        </w:tc>
      </w:tr>
      <w:tr>
        <w:trPr>
          <w:cantSplit/>
        </w:trPr>
        <w:tc>
          <w:tcPr>
            <w:tcW w:type="dxa" w:w="1100"/>
            <w:shd w:fill="F2F2F2" w:val="clear"/>
            <w:tcMar>
              <w:top w:type="dxa" w:w="70"/>
              <w:left w:type="dxa" w:w="100"/>
              <w:bottom w:type="dxa" w:w="70"/>
              <w:right w:type="dxa" w:w="100"/>
            </w:tcMar>
            <w:vAlign w:val="center"/>
          </w:tcPr>
          <w:p>
            <w:pPr>
              <w:jc w:val="left"/>
            </w:pPr>
            <w:r>
              <w:rPr>
                <w:b w:val="false"/>
                <w:bCs w:val="false"/>
                <w:color w:val="000000"/>
                <w:sz w:val="16"/>
                <w:szCs w:val="16"/>
              </w:rPr>
              <w:t xml:space="preserve">01</w:t>
            </w:r>
          </w:p>
        </w:tc>
        <w:tc>
          <w:tcPr>
            <w:tcW w:type="dxa" w:w="350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01_esquema.sql</w:t>
            </w:r>
          </w:p>
        </w:tc>
        <w:tc>
          <w:tcPr>
            <w:tcW w:type="dxa" w:w="448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Esquema completo, catálogos, funciones de privacidad diferencial y datos base.</w:t>
            </w:r>
          </w:p>
        </w:tc>
      </w:tr>
      <w:tr>
        <w:trPr>
          <w:cantSplit/>
        </w:trPr>
        <w:tc>
          <w:tcPr>
            <w:tcW w:type="dxa" w:w="1100"/>
            <w:tcMar>
              <w:top w:type="dxa" w:w="70"/>
              <w:left w:type="dxa" w:w="100"/>
              <w:bottom w:type="dxa" w:w="70"/>
              <w:right w:type="dxa" w:w="100"/>
            </w:tcMar>
            <w:vAlign w:val="center"/>
          </w:tcPr>
          <w:p>
            <w:pPr>
              <w:jc w:val="left"/>
            </w:pPr>
            <w:r>
              <w:rPr>
                <w:b w:val="false"/>
                <w:bCs w:val="false"/>
                <w:color w:val="000000"/>
                <w:sz w:val="16"/>
                <w:szCs w:val="16"/>
              </w:rPr>
              <w:t xml:space="preserve">02</w:t>
            </w:r>
          </w:p>
        </w:tc>
        <w:tc>
          <w:tcPr>
            <w:tcW w:type="dxa" w:w="3500"/>
            <w:tcMar>
              <w:top w:type="dxa" w:w="70"/>
              <w:left w:type="dxa" w:w="100"/>
              <w:bottom w:type="dxa" w:w="70"/>
              <w:right w:type="dxa" w:w="100"/>
            </w:tcMar>
            <w:vAlign w:val="center"/>
          </w:tcPr>
          <w:p>
            <w:pPr>
              <w:jc w:val="center"/>
            </w:pPr>
            <w:r>
              <w:rPr>
                <w:b w:val="false"/>
                <w:bCs w:val="false"/>
                <w:color w:val="000000"/>
                <w:sz w:val="16"/>
                <w:szCs w:val="16"/>
              </w:rPr>
              <w:t xml:space="preserve">02_volumen_sintetico.sql</w:t>
            </w:r>
          </w:p>
        </w:tc>
        <w:tc>
          <w:tcPr>
            <w:tcW w:type="dxa" w:w="4480"/>
            <w:tcMar>
              <w:top w:type="dxa" w:w="70"/>
              <w:left w:type="dxa" w:w="100"/>
              <w:bottom w:type="dxa" w:w="70"/>
              <w:right w:type="dxa" w:w="100"/>
            </w:tcMar>
            <w:vAlign w:val="center"/>
          </w:tcPr>
          <w:p>
            <w:pPr>
              <w:jc w:val="center"/>
            </w:pPr>
            <w:r>
              <w:rPr>
                <w:b w:val="false"/>
                <w:bCs w:val="false"/>
                <w:color w:val="000000"/>
                <w:sz w:val="16"/>
                <w:szCs w:val="16"/>
              </w:rPr>
              <w:t xml:space="preserve">Volumen de prueba. Solo en developer y staging; nunca en production.</w:t>
            </w:r>
          </w:p>
        </w:tc>
      </w:tr>
      <w:tr>
        <w:trPr>
          <w:cantSplit/>
        </w:trPr>
        <w:tc>
          <w:tcPr>
            <w:tcW w:type="dxa" w:w="1100"/>
            <w:shd w:fill="F2F2F2" w:val="clear"/>
            <w:tcMar>
              <w:top w:type="dxa" w:w="70"/>
              <w:left w:type="dxa" w:w="100"/>
              <w:bottom w:type="dxa" w:w="70"/>
              <w:right w:type="dxa" w:w="100"/>
            </w:tcMar>
            <w:vAlign w:val="center"/>
          </w:tcPr>
          <w:p>
            <w:pPr>
              <w:jc w:val="left"/>
            </w:pPr>
            <w:r>
              <w:rPr>
                <w:b w:val="false"/>
                <w:bCs w:val="false"/>
                <w:color w:val="000000"/>
                <w:sz w:val="16"/>
                <w:szCs w:val="16"/>
              </w:rPr>
              <w:t xml:space="preserve">05</w:t>
            </w:r>
          </w:p>
        </w:tc>
        <w:tc>
          <w:tcPr>
            <w:tcW w:type="dxa" w:w="350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001_rol_motor_...sql</w:t>
            </w:r>
          </w:p>
        </w:tc>
        <w:tc>
          <w:tcPr>
            <w:tcW w:type="dxa" w:w="448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Crea el rol motor y convierte las funciones de dominio en SECURITY DEFINER.</w:t>
            </w:r>
          </w:p>
        </w:tc>
      </w:tr>
      <w:tr>
        <w:trPr>
          <w:cantSplit/>
        </w:trPr>
        <w:tc>
          <w:tcPr>
            <w:tcW w:type="dxa" w:w="1100"/>
            <w:tcMar>
              <w:top w:type="dxa" w:w="70"/>
              <w:left w:type="dxa" w:w="100"/>
              <w:bottom w:type="dxa" w:w="70"/>
              <w:right w:type="dxa" w:w="100"/>
            </w:tcMar>
            <w:vAlign w:val="center"/>
          </w:tcPr>
          <w:p>
            <w:pPr>
              <w:jc w:val="left"/>
            </w:pPr>
            <w:r>
              <w:rPr>
                <w:b w:val="false"/>
                <w:bCs w:val="false"/>
                <w:color w:val="000000"/>
                <w:sz w:val="16"/>
                <w:szCs w:val="16"/>
              </w:rPr>
              <w:t xml:space="preserve">09</w:t>
            </w:r>
          </w:p>
        </w:tc>
        <w:tc>
          <w:tcPr>
            <w:tcW w:type="dxa" w:w="3500"/>
            <w:tcMar>
              <w:top w:type="dxa" w:w="70"/>
              <w:left w:type="dxa" w:w="100"/>
              <w:bottom w:type="dxa" w:w="70"/>
              <w:right w:type="dxa" w:w="100"/>
            </w:tcMar>
            <w:vAlign w:val="center"/>
          </w:tcPr>
          <w:p>
            <w:pPr>
              <w:jc w:val="center"/>
            </w:pPr>
            <w:r>
              <w:rPr>
                <w:b w:val="false"/>
                <w:bCs w:val="false"/>
                <w:color w:val="000000"/>
                <w:sz w:val="16"/>
                <w:szCs w:val="16"/>
              </w:rPr>
              <w:t xml:space="preserve">09_permisos.sh</w:t>
            </w:r>
          </w:p>
        </w:tc>
        <w:tc>
          <w:tcPr>
            <w:tcW w:type="dxa" w:w="4480"/>
            <w:tcMar>
              <w:top w:type="dxa" w:w="70"/>
              <w:left w:type="dxa" w:w="100"/>
              <w:bottom w:type="dxa" w:w="70"/>
              <w:right w:type="dxa" w:w="100"/>
            </w:tcMar>
            <w:vAlign w:val="center"/>
          </w:tcPr>
          <w:p>
            <w:pPr>
              <w:jc w:val="center"/>
            </w:pPr>
            <w:r>
              <w:rPr>
                <w:b w:val="false"/>
                <w:bCs w:val="false"/>
                <w:color w:val="000000"/>
                <w:sz w:val="16"/>
                <w:szCs w:val="16"/>
              </w:rPr>
              <w:t xml:space="preserve">Otorga a la aplicación exactamente lo que necesita, y nada más.</w:t>
            </w:r>
          </w:p>
        </w:tc>
      </w:tr>
    </w:tbl>
    <w:p>
      <w:pPr>
        <w:spacing w:after="160"/>
        <w:jc w:val="both"/>
      </w:pPr>
      <w:r>
        <w:t xml:space="preserve">El mismo orden se puede ejecutar contra una instalación de PostgreSQL existente, sin Docker, con scripts/arranque_base.sh. Eso permite trabajar aunque no se puedan descargar imágenes de contenedor.</w:t>
      </w:r>
    </w:p>
    <w:p>
      <w:pPr>
        <w:pStyle w:val="Heading1"/>
        <w:spacing w:after="160" w:before="320"/>
      </w:pPr>
      <w:r>
        <w:t xml:space="preserve">6. Frontera de privilegios</w:t>
      </w:r>
    </w:p>
    <w:p>
      <w:pPr>
        <w:spacing w:after="160"/>
        <w:jc w:val="both"/>
      </w:pPr>
      <w:r>
        <w:t xml:space="preserve">Esta sección describe el hallazgo de mayor peso de esta etapa, y conviene leerla completa porque cambió el diseño.</w:t>
      </w:r>
    </w:p>
    <w:p>
      <w:pPr>
        <w:pStyle w:val="Heading2"/>
        <w:spacing w:after="120" w:before="240"/>
      </w:pPr>
      <w:r>
        <w:t xml:space="preserve">6.1 El problema encontrado</w:t>
      </w:r>
    </w:p>
    <w:p>
      <w:pPr>
        <w:spacing w:after="160"/>
        <w:jc w:val="both"/>
      </w:pPr>
      <w:r>
        <w:t xml:space="preserve">Al aplicar el principio de menor privilegio al rol de la aplicación, se le negó la lectura del esquema de autorreporte y la escritura del presupuesto de privacidad. Las tres pruebas de frontera pasaron: la aplicación ya no podía leer respuestas individuales, ni borrar la bitácora, ni alterar el presupuesto.</w:t>
      </w:r>
    </w:p>
    <w:p>
      <w:pPr>
        <w:spacing w:after="160"/>
        <w:jc w:val="both"/>
      </w:pPr>
      <w:r>
        <w:rPr>
          <w:b/>
          <w:bCs/>
          <w:i w:val="false"/>
          <w:iCs w:val="false"/>
        </w:rPr>
        <w:t xml:space="preserve">Pero la función de agregado protegido también dejó de funcionar:</w:t>
      </w:r>
    </w:p>
    <w:p>
      <w:pPr>
        <w:pBdr>
          <w:top w:val="single" w:color="CCCCCC" w:sz="4"/>
          <w:left w:val="single" w:color="CCCCCC" w:sz="4"/>
          <w:bottom w:val="single" w:color="CCCCCC" w:sz="4"/>
          <w:right w:val="single" w:color="CCCCCC" w:sz="4"/>
        </w:pBdr>
        <w:shd w:fill="F5F5F5" w:val="clear"/>
        <w:spacing w:after="200"/>
      </w:pPr>
      <w:r>
        <w:rPr>
          <w:rFonts w:ascii="Consolas" w:cs="Consolas" w:eastAsia="Consolas" w:hAnsi="Consolas"/>
          <w:sz w:val="16"/>
          <w:szCs w:val="16"/>
        </w:rPr>
        <w:t xml:space="preserve">ERROR:  permission denied for schema autoreporte</w:t>
      </w:r>
      <w:r>
        <w:br/>
      </w:r>
      <w:r>
        <w:rPr>
          <w:rFonts w:ascii="Consolas" w:cs="Consolas" w:eastAsia="Consolas" w:hAnsi="Consolas"/>
          <w:sz w:val="16"/>
          <w:szCs w:val="16"/>
        </w:rPr>
        <w:t xml:space="preserve">LINE 1: ... COUNT(DISTINCT r.respuesta_id) FROM autoreport...</w:t>
      </w:r>
    </w:p>
    <w:p>
      <w:pPr>
        <w:spacing w:after="160"/>
        <w:jc w:val="both"/>
      </w:pPr>
      <w:r>
        <w:t xml:space="preserve">La causa: la función corría con los privilegios de quien la invocaba. Al quitarle a la aplicación el acceso a las respuestas, se lo quitamos también a la función que la aplicación llama.</w:t>
      </w:r>
    </w:p>
    <w:p>
      <w:pPr>
        <w:pStyle w:val="Heading2"/>
        <w:spacing w:after="120" w:before="240"/>
      </w:pPr>
      <w:r>
        <w:t xml:space="preserve">6.2 La solución equivocada y la correcta</w:t>
      </w:r>
    </w:p>
    <w:p>
      <w:pPr>
        <w:spacing w:after="160"/>
        <w:jc w:val="both"/>
      </w:pPr>
      <w:r>
        <w:rPr>
          <w:b/>
          <w:bCs/>
          <w:i w:val="false"/>
          <w:iCs w:val="false"/>
        </w:rPr>
        <w:t xml:space="preserve">La solución equivocada </w:t>
      </w:r>
      <w:r>
        <w:rPr>
          <w:b w:val="false"/>
          <w:bCs w:val="false"/>
          <w:i w:val="false"/>
          <w:iCs w:val="false"/>
        </w:rPr>
        <w:t xml:space="preserve">sería devolverle a la aplicación el permiso de lectura sobre autorreporte. Funcionaría de inmediato, y destruiría la garantía central del proyecto: cualquier consulta de la aplicación podría entonces leer respuestas individuales y saltarse el mecanismo de privacidad diferencial por completo.</w:t>
      </w:r>
    </w:p>
    <w:p>
      <w:pPr>
        <w:spacing w:after="160"/>
        <w:jc w:val="both"/>
      </w:pPr>
      <w:r>
        <w:rPr>
          <w:b/>
          <w:bCs/>
          <w:i w:val="false"/>
          <w:iCs w:val="false"/>
        </w:rPr>
        <w:t xml:space="preserve">La solución adoptada </w:t>
      </w:r>
      <w:r>
        <w:rPr>
          <w:b w:val="false"/>
          <w:bCs w:val="false"/>
          <w:i w:val="false"/>
          <w:iCs w:val="false"/>
        </w:rPr>
        <w:t xml:space="preserve">fue crear un rol motor sin inicio de sesión, dueño de las funciones de dominio, que sí puede leer respuestas y escribir el presupuesto. Las funciones se marcaron SECURITY DEFINER, de modo que corren con los privilegios del motor y no con los de quien las llama.</w:t>
      </w:r>
    </w:p>
    <w:p>
      <w:pPr>
        <w:spacing w:after="160"/>
        <w:jc w:val="both"/>
      </w:pPr>
      <w:r>
        <w:t xml:space="preserve">El resultado es que la única ruta desde la aplicación hacia los datos individuales pasa por el mecanismo de privacidad diferencial. No es una convención de programación que alguien pueda olvidar: es una restricción que el motor de base de datos hace cumplir.</w:t>
      </w:r>
    </w:p>
    <w:p>
      <w:pPr>
        <w:pStyle w:val="Heading2"/>
        <w:spacing w:after="120" w:before="240"/>
      </w:pPr>
      <w:r>
        <w:t xml:space="preserve">6.3 La precaución que acompaña a SECURITY DEFINER</w:t>
      </w:r>
    </w:p>
    <w:p>
      <w:pPr>
        <w:spacing w:after="160"/>
        <w:jc w:val="both"/>
      </w:pPr>
      <w:r>
        <w:t xml:space="preserve">Toda función SECURITY DEFINER de este proyecto fija su search_path de forma explícita. Sin esa fijación, quien la invoca podría anteponer un esquema propio y hacer que la función ejecute tablas o funciones suyas con los privilegios del dueño. Es la vía clásica de escalación de privilegios en PostgreSQL, y la razón de las cláusulas SET search_path de la migración 001.</w:t>
      </w:r>
    </w:p>
    <w:p>
      <w:pPr>
        <w:spacing w:after="160"/>
        <w:jc w:val="both"/>
      </w:pPr>
      <w:r>
        <w:t xml:space="preserve">Por la misma razón, las funciones auxiliares que solo hacen cálculo —el ruido de Laplace, el análisis de utilidad y la clasificación de precisión— se dejaron deliberadamente con los privilegios de quien las invoca. Cada función con privilegios prestados es superficie de ataque, y esas tres no los necesitan.</w:t>
      </w:r>
    </w:p>
    <w:p>
      <w:pPr>
        <w:spacing w:after="80" w:before="120"/>
        <w:jc w:val="center"/>
      </w:pPr>
      <w:r>
        <w:drawing>
          <wp:inline distT="0" distB="0" distL="0" distR="0">
            <wp:extent cx="5905500" cy="345757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457575"/>
                    </a:xfrm>
                    <a:prstGeom prst="rect">
                      <a:avLst/>
                    </a:prstGeom>
                  </pic:spPr>
                </pic:pic>
              </a:graphicData>
            </a:graphic>
          </wp:inline>
        </w:drawing>
      </w:r>
    </w:p>
    <w:p>
      <w:pPr>
        <w:spacing w:after="240"/>
        <w:jc w:val="center"/>
      </w:pPr>
      <w:r>
        <w:rPr>
          <w:i/>
          <w:iCs/>
          <w:color w:val="808080"/>
          <w:sz w:val="18"/>
          <w:szCs w:val="18"/>
        </w:rPr>
        <w:t xml:space="preserve">Figura 3. La única ruta permitida hacia los datos individuales.</w:t>
      </w:r>
    </w:p>
    <w:p>
      <w:pPr>
        <w:pStyle w:val="Heading1"/>
        <w:spacing w:after="160" w:before="320"/>
      </w:pPr>
      <w:r>
        <w:t xml:space="preserve">7. Guardas de operación</w:t>
      </w:r>
    </w:p>
    <w:p>
      <w:pPr>
        <w:spacing w:after="160"/>
        <w:jc w:val="both"/>
      </w:pPr>
      <w:r>
        <w:t xml:space="preserve">Tres comprobaciones están puestas para que un error de operación falle de forma visible en lugar de pasar desapercibido. Las tres se verificaron ejecutándolas.</w:t>
      </w:r>
    </w:p>
    <w:p>
      <w:pPr>
        <w:pStyle w:val="Heading2"/>
        <w:spacing w:after="120" w:before="240"/>
      </w:pPr>
      <w:r>
        <w:t xml:space="preserve">7.1 Production exige versión explícita</w:t>
      </w:r>
    </w:p>
    <w:p>
      <w:pPr>
        <w:spacing w:after="160"/>
        <w:jc w:val="both"/>
      </w:pPr>
      <w:r>
        <w:t xml:space="preserve">El script de operación rechaza levantar production si el archivo de variables no declara una versión de imagen. Desplegar una etiqueta móvil como latest o local en production está prohibido, porque haría imposible saber qué código está corriendo.</w:t>
      </w:r>
    </w:p>
    <w:p>
      <w:pPr>
        <w:pBdr>
          <w:top w:val="single" w:color="CCCCCC" w:sz="4"/>
          <w:left w:val="single" w:color="CCCCCC" w:sz="4"/>
          <w:bottom w:val="single" w:color="CCCCCC" w:sz="4"/>
          <w:right w:val="single" w:color="CCCCCC" w:sz="4"/>
        </w:pBdr>
        <w:shd w:fill="F5F5F5" w:val="clear"/>
        <w:spacing w:after="200"/>
      </w:pPr>
      <w:r>
        <w:rPr>
          <w:rFonts w:ascii="Consolas" w:cs="Consolas" w:eastAsia="Consolas" w:hAnsi="Consolas"/>
          <w:sz w:val="16"/>
          <w:szCs w:val="16"/>
        </w:rPr>
        <w:t xml:space="preserve">$ ./scripts/ambiente.sh production estado</w:t>
      </w:r>
      <w:r>
        <w:br/>
      </w:r>
      <w:r>
        <w:rPr>
          <w:rFonts w:ascii="Consolas" w:cs="Consolas" w:eastAsia="Consolas" w:hAnsi="Consolas"/>
          <w:sz w:val="16"/>
          <w:szCs w:val="16"/>
        </w:rPr>
        <w:t xml:space="preserve">ERROR: production requiere VERSION en infra/ambientes/production.env.</w:t>
      </w:r>
      <w:r>
        <w:br/>
      </w:r>
      <w:r>
        <w:rPr>
          <w:rFonts w:ascii="Consolas" w:cs="Consolas" w:eastAsia="Consolas" w:hAnsi="Consolas"/>
          <w:sz w:val="16"/>
          <w:szCs w:val="16"/>
        </w:rPr>
        <w:t xml:space="preserve">       Desplegar 'local' o 'latest' en production está prohibido.</w:t>
      </w:r>
      <w:r>
        <w:br/>
      </w:r>
      <w:r>
        <w:rPr>
          <w:rFonts w:ascii="Consolas" w:cs="Consolas" w:eastAsia="Consolas" w:hAnsi="Consolas"/>
          <w:sz w:val="16"/>
          <w:szCs w:val="16"/>
        </w:rPr>
        <w:t xml:space="preserve">$ echo $?</w:t>
      </w:r>
      <w:r>
        <w:br/>
      </w:r>
      <w:r>
        <w:rPr>
          <w:rFonts w:ascii="Consolas" w:cs="Consolas" w:eastAsia="Consolas" w:hAnsi="Consolas"/>
          <w:sz w:val="16"/>
          <w:szCs w:val="16"/>
        </w:rPr>
        <w:t xml:space="preserve">1</w:t>
      </w:r>
    </w:p>
    <w:p>
      <w:pPr>
        <w:pStyle w:val="Heading2"/>
        <w:spacing w:after="120" w:before="240"/>
      </w:pPr>
      <w:r>
        <w:t xml:space="preserve">7.2 Production no expone la base de datos</w:t>
      </w:r>
    </w:p>
    <w:p>
      <w:pPr>
        <w:spacing w:after="160"/>
        <w:jc w:val="both"/>
      </w:pPr>
      <w:r>
        <w:t xml:space="preserve">El archivo de production no tiene sección de puertos para el servicio de datos. La ausencia es deliberada y está comentada como tal, para que nadie la agregue creyendo que fue un olvido. Además, la red privada está marcada como interna, de modo que los contenedores de datos no tienen ruta de salida a Internet.</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3000"/>
        <w:gridCol w:w="3040"/>
        <w:gridCol w:w="3040"/>
      </w:tblGrid>
      <w:tr>
        <w:trPr>
          <w:tblHeader/>
        </w:trPr>
        <w:tc>
          <w:tcPr>
            <w:tcW w:type="dxa" w:w="3000"/>
            <w:shd w:fill="1F3864" w:val="clear"/>
            <w:tcMar>
              <w:top w:type="dxa" w:w="70"/>
              <w:left w:type="dxa" w:w="100"/>
              <w:bottom w:type="dxa" w:w="70"/>
              <w:right w:type="dxa" w:w="100"/>
            </w:tcMar>
            <w:vAlign w:val="center"/>
          </w:tcPr>
          <w:p>
            <w:pPr>
              <w:jc w:val="center"/>
            </w:pPr>
            <w:r>
              <w:rPr>
                <w:b/>
                <w:bCs/>
                <w:color w:val="FFFFFF"/>
                <w:sz w:val="17"/>
                <w:szCs w:val="17"/>
              </w:rPr>
              <w:t xml:space="preserve">Comprobación</w:t>
            </w:r>
          </w:p>
        </w:tc>
        <w:tc>
          <w:tcPr>
            <w:tcW w:type="dxa" w:w="3040"/>
            <w:shd w:fill="1F3864" w:val="clear"/>
            <w:tcMar>
              <w:top w:type="dxa" w:w="70"/>
              <w:left w:type="dxa" w:w="100"/>
              <w:bottom w:type="dxa" w:w="70"/>
              <w:right w:type="dxa" w:w="100"/>
            </w:tcMar>
            <w:vAlign w:val="center"/>
          </w:tcPr>
          <w:p>
            <w:pPr>
              <w:jc w:val="center"/>
            </w:pPr>
            <w:r>
              <w:rPr>
                <w:b/>
                <w:bCs/>
                <w:color w:val="FFFFFF"/>
                <w:sz w:val="17"/>
                <w:szCs w:val="17"/>
              </w:rPr>
              <w:t xml:space="preserve">developer</w:t>
            </w:r>
          </w:p>
        </w:tc>
        <w:tc>
          <w:tcPr>
            <w:tcW w:type="dxa" w:w="3040"/>
            <w:shd w:fill="1F3864" w:val="clear"/>
            <w:tcMar>
              <w:top w:type="dxa" w:w="70"/>
              <w:left w:type="dxa" w:w="100"/>
              <w:bottom w:type="dxa" w:w="70"/>
              <w:right w:type="dxa" w:w="100"/>
            </w:tcMar>
            <w:vAlign w:val="center"/>
          </w:tcPr>
          <w:p>
            <w:pPr>
              <w:jc w:val="center"/>
            </w:pPr>
            <w:r>
              <w:rPr>
                <w:b/>
                <w:bCs/>
                <w:color w:val="FFFFFF"/>
                <w:sz w:val="17"/>
                <w:szCs w:val="17"/>
              </w:rPr>
              <w:t xml:space="preserve">production</w:t>
            </w:r>
          </w:p>
        </w:tc>
      </w:tr>
      <w:tr>
        <w:trPr>
          <w:cantSplit/>
        </w:trPr>
        <w:tc>
          <w:tcPr>
            <w:tcW w:type="dxa" w:w="3000"/>
            <w:tcMar>
              <w:top w:type="dxa" w:w="70"/>
              <w:left w:type="dxa" w:w="100"/>
              <w:bottom w:type="dxa" w:w="70"/>
              <w:right w:type="dxa" w:w="100"/>
            </w:tcMar>
            <w:vAlign w:val="center"/>
          </w:tcPr>
          <w:p>
            <w:pPr>
              <w:jc w:val="left"/>
            </w:pPr>
            <w:r>
              <w:rPr>
                <w:b w:val="false"/>
                <w:bCs w:val="false"/>
                <w:color w:val="000000"/>
                <w:sz w:val="16"/>
                <w:szCs w:val="16"/>
              </w:rPr>
              <w:t xml:space="preserve">Puerto de PostgreSQL publicado</w:t>
            </w:r>
          </w:p>
        </w:tc>
        <w:tc>
          <w:tcPr>
            <w:tcW w:type="dxa" w:w="3040"/>
            <w:tcMar>
              <w:top w:type="dxa" w:w="70"/>
              <w:left w:type="dxa" w:w="100"/>
              <w:bottom w:type="dxa" w:w="70"/>
              <w:right w:type="dxa" w:w="100"/>
            </w:tcMar>
            <w:vAlign w:val="center"/>
          </w:tcPr>
          <w:p>
            <w:pPr>
              <w:jc w:val="center"/>
            </w:pPr>
            <w:r>
              <w:rPr>
                <w:b w:val="false"/>
                <w:bCs w:val="false"/>
                <w:color w:val="000000"/>
                <w:sz w:val="16"/>
                <w:szCs w:val="16"/>
              </w:rPr>
              <w:t xml:space="preserve">5432</w:t>
            </w:r>
          </w:p>
        </w:tc>
        <w:tc>
          <w:tcPr>
            <w:tcW w:type="dxa" w:w="3040"/>
            <w:tcMar>
              <w:top w:type="dxa" w:w="70"/>
              <w:left w:type="dxa" w:w="100"/>
              <w:bottom w:type="dxa" w:w="70"/>
              <w:right w:type="dxa" w:w="100"/>
            </w:tcMar>
            <w:vAlign w:val="center"/>
          </w:tcPr>
          <w:p>
            <w:pPr>
              <w:jc w:val="center"/>
            </w:pPr>
            <w:r>
              <w:rPr>
                <w:b w:val="false"/>
                <w:bCs w:val="false"/>
                <w:color w:val="000000"/>
                <w:sz w:val="16"/>
                <w:szCs w:val="16"/>
              </w:rPr>
              <w:t xml:space="preserve">ninguno</w:t>
            </w:r>
          </w:p>
        </w:tc>
      </w:tr>
      <w:tr>
        <w:trPr>
          <w:cantSplit/>
        </w:trPr>
        <w:tc>
          <w:tcPr>
            <w:tcW w:type="dxa" w:w="3000"/>
            <w:shd w:fill="F2F2F2" w:val="clear"/>
            <w:tcMar>
              <w:top w:type="dxa" w:w="70"/>
              <w:left w:type="dxa" w:w="100"/>
              <w:bottom w:type="dxa" w:w="70"/>
              <w:right w:type="dxa" w:w="100"/>
            </w:tcMar>
            <w:vAlign w:val="center"/>
          </w:tcPr>
          <w:p>
            <w:pPr>
              <w:jc w:val="left"/>
            </w:pPr>
            <w:r>
              <w:rPr>
                <w:b w:val="false"/>
                <w:bCs w:val="false"/>
                <w:color w:val="000000"/>
                <w:sz w:val="16"/>
                <w:szCs w:val="16"/>
              </w:rPr>
              <w:t xml:space="preserve">Puerto de Redis publicado</w:t>
            </w:r>
          </w:p>
        </w:tc>
        <w:tc>
          <w:tcPr>
            <w:tcW w:type="dxa" w:w="304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6379</w:t>
            </w:r>
          </w:p>
        </w:tc>
        <w:tc>
          <w:tcPr>
            <w:tcW w:type="dxa" w:w="304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ninguno</w:t>
            </w:r>
          </w:p>
        </w:tc>
      </w:tr>
      <w:tr>
        <w:trPr>
          <w:cantSplit/>
        </w:trPr>
        <w:tc>
          <w:tcPr>
            <w:tcW w:type="dxa" w:w="3000"/>
            <w:tcMar>
              <w:top w:type="dxa" w:w="70"/>
              <w:left w:type="dxa" w:w="100"/>
              <w:bottom w:type="dxa" w:w="70"/>
              <w:right w:type="dxa" w:w="100"/>
            </w:tcMar>
            <w:vAlign w:val="center"/>
          </w:tcPr>
          <w:p>
            <w:pPr>
              <w:jc w:val="left"/>
            </w:pPr>
            <w:r>
              <w:rPr>
                <w:b w:val="false"/>
                <w:bCs w:val="false"/>
                <w:color w:val="000000"/>
                <w:sz w:val="16"/>
                <w:szCs w:val="16"/>
              </w:rPr>
              <w:t xml:space="preserve">Red privada marcada interna</w:t>
            </w:r>
          </w:p>
        </w:tc>
        <w:tc>
          <w:tcPr>
            <w:tcW w:type="dxa" w:w="3040"/>
            <w:tcMar>
              <w:top w:type="dxa" w:w="70"/>
              <w:left w:type="dxa" w:w="100"/>
              <w:bottom w:type="dxa" w:w="70"/>
              <w:right w:type="dxa" w:w="100"/>
            </w:tcMar>
            <w:vAlign w:val="center"/>
          </w:tcPr>
          <w:p>
            <w:pPr>
              <w:jc w:val="center"/>
            </w:pPr>
            <w:r>
              <w:rPr>
                <w:b w:val="false"/>
                <w:bCs w:val="false"/>
                <w:color w:val="000000"/>
                <w:sz w:val="16"/>
                <w:szCs w:val="16"/>
              </w:rPr>
              <w:t xml:space="preserve">sí</w:t>
            </w:r>
          </w:p>
        </w:tc>
        <w:tc>
          <w:tcPr>
            <w:tcW w:type="dxa" w:w="3040"/>
            <w:tcMar>
              <w:top w:type="dxa" w:w="70"/>
              <w:left w:type="dxa" w:w="100"/>
              <w:bottom w:type="dxa" w:w="70"/>
              <w:right w:type="dxa" w:w="100"/>
            </w:tcMar>
            <w:vAlign w:val="center"/>
          </w:tcPr>
          <w:p>
            <w:pPr>
              <w:jc w:val="center"/>
            </w:pPr>
            <w:r>
              <w:rPr>
                <w:b w:val="false"/>
                <w:bCs w:val="false"/>
                <w:color w:val="000000"/>
                <w:sz w:val="16"/>
                <w:szCs w:val="16"/>
              </w:rPr>
              <w:t xml:space="preserve">sí</w:t>
            </w:r>
          </w:p>
        </w:tc>
      </w:tr>
      <w:tr>
        <w:trPr>
          <w:cantSplit/>
        </w:trPr>
        <w:tc>
          <w:tcPr>
            <w:tcW w:type="dxa" w:w="3000"/>
            <w:shd w:fill="F2F2F2" w:val="clear"/>
            <w:tcMar>
              <w:top w:type="dxa" w:w="70"/>
              <w:left w:type="dxa" w:w="100"/>
              <w:bottom w:type="dxa" w:w="70"/>
              <w:right w:type="dxa" w:w="100"/>
            </w:tcMar>
            <w:vAlign w:val="center"/>
          </w:tcPr>
          <w:p>
            <w:pPr>
              <w:jc w:val="left"/>
            </w:pPr>
            <w:r>
              <w:rPr>
                <w:b w:val="false"/>
                <w:bCs w:val="false"/>
                <w:color w:val="000000"/>
                <w:sz w:val="16"/>
                <w:szCs w:val="16"/>
              </w:rPr>
              <w:t xml:space="preserve">Procesos de Gunicorn</w:t>
            </w:r>
          </w:p>
        </w:tc>
        <w:tc>
          <w:tcPr>
            <w:tcW w:type="dxa" w:w="304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1</w:t>
            </w:r>
          </w:p>
        </w:tc>
        <w:tc>
          <w:tcPr>
            <w:tcW w:type="dxa" w:w="304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4</w:t>
            </w:r>
          </w:p>
        </w:tc>
      </w:tr>
      <w:tr>
        <w:trPr>
          <w:cantSplit/>
        </w:trPr>
        <w:tc>
          <w:tcPr>
            <w:tcW w:type="dxa" w:w="3000"/>
            <w:tcMar>
              <w:top w:type="dxa" w:w="70"/>
              <w:left w:type="dxa" w:w="100"/>
              <w:bottom w:type="dxa" w:w="70"/>
              <w:right w:type="dxa" w:w="100"/>
            </w:tcMar>
            <w:vAlign w:val="center"/>
          </w:tcPr>
          <w:p>
            <w:pPr>
              <w:jc w:val="left"/>
            </w:pPr>
            <w:r>
              <w:rPr>
                <w:b w:val="false"/>
                <w:bCs w:val="false"/>
                <w:color w:val="000000"/>
                <w:sz w:val="16"/>
                <w:szCs w:val="16"/>
              </w:rPr>
              <w:t xml:space="preserve">Límite de memoria del contenedor de datos</w:t>
            </w:r>
          </w:p>
        </w:tc>
        <w:tc>
          <w:tcPr>
            <w:tcW w:type="dxa" w:w="3040"/>
            <w:tcMar>
              <w:top w:type="dxa" w:w="70"/>
              <w:left w:type="dxa" w:w="100"/>
              <w:bottom w:type="dxa" w:w="70"/>
              <w:right w:type="dxa" w:w="100"/>
            </w:tcMar>
            <w:vAlign w:val="center"/>
          </w:tcPr>
          <w:p>
            <w:pPr>
              <w:jc w:val="center"/>
            </w:pPr>
            <w:r>
              <w:rPr>
                <w:b w:val="false"/>
                <w:bCs w:val="false"/>
                <w:color w:val="000000"/>
                <w:sz w:val="16"/>
                <w:szCs w:val="16"/>
              </w:rPr>
              <w:t xml:space="preserve">sin límite</w:t>
            </w:r>
          </w:p>
        </w:tc>
        <w:tc>
          <w:tcPr>
            <w:tcW w:type="dxa" w:w="3040"/>
            <w:tcMar>
              <w:top w:type="dxa" w:w="70"/>
              <w:left w:type="dxa" w:w="100"/>
              <w:bottom w:type="dxa" w:w="70"/>
              <w:right w:type="dxa" w:w="100"/>
            </w:tcMar>
            <w:vAlign w:val="center"/>
          </w:tcPr>
          <w:p>
            <w:pPr>
              <w:jc w:val="center"/>
            </w:pPr>
            <w:r>
              <w:rPr>
                <w:b w:val="false"/>
                <w:bCs w:val="false"/>
                <w:color w:val="000000"/>
                <w:sz w:val="16"/>
                <w:szCs w:val="16"/>
              </w:rPr>
              <w:t xml:space="preserve">4 GB</w:t>
            </w:r>
          </w:p>
        </w:tc>
      </w:tr>
    </w:tbl>
    <w:p>
      <w:pPr>
        <w:pStyle w:val="Heading2"/>
        <w:spacing w:after="120" w:before="240"/>
      </w:pPr>
      <w:r>
        <w:t xml:space="preserve">7.3 La tubería de integración continua protege la garantía</w:t>
      </w:r>
    </w:p>
    <w:p>
      <w:pPr>
        <w:spacing w:after="160"/>
        <w:jc w:val="both"/>
      </w:pPr>
      <w:r>
        <w:t xml:space="preserve">La tubería definida en .github/workflows/ci.yml comprueba en cada cambio que el rol de la aplicación sigue sin poder leer respuestas individuales ni borrar la bitácora, y que las seis garantías de gobernanza se cumplen. Si alguien relaja un permiso por comodidad, la tubería falla.</w:t>
      </w:r>
    </w:p>
    <w:p>
      <w:pPr>
        <w:spacing w:after="160"/>
        <w:jc w:val="both"/>
      </w:pPr>
      <w:r>
        <w:t xml:space="preserve">Esa es la razón de ser de la tubería en este proyecto: no vigila el estilo del código, vigila la propiedad de privacidad que el proyecto promete.</w:t>
      </w:r>
    </w:p>
    <w:p>
      <w:pPr>
        <w:pStyle w:val="Heading1"/>
        <w:spacing w:after="160" w:before="320"/>
      </w:pPr>
      <w:r>
        <w:t xml:space="preserve">8. Evidencia de ejecución</w:t>
      </w:r>
    </w:p>
    <w:p>
      <w:pPr>
        <w:spacing w:after="160"/>
        <w:jc w:val="both"/>
      </w:pPr>
      <w:r>
        <w:t xml:space="preserve">Todo lo de esta sección es salida textual de comandos ejecutados, no ejemplos redactados.</w:t>
      </w:r>
    </w:p>
    <w:p>
      <w:pPr>
        <w:pStyle w:val="Heading2"/>
        <w:spacing w:after="120" w:before="240"/>
      </w:pPr>
      <w:r>
        <w:t xml:space="preserve">8.1 Cadena de arranque de la base</w:t>
      </w:r>
    </w:p>
    <w:p>
      <w:pPr>
        <w:pBdr>
          <w:top w:val="single" w:color="CCCCCC" w:sz="4"/>
          <w:left w:val="single" w:color="CCCCCC" w:sz="4"/>
          <w:bottom w:val="single" w:color="CCCCCC" w:sz="4"/>
          <w:right w:val="single" w:color="CCCCCC" w:sz="4"/>
        </w:pBdr>
        <w:shd w:fill="F5F5F5" w:val="clear"/>
        <w:spacing w:after="200"/>
      </w:pPr>
      <w:r>
        <w:rPr>
          <w:rFonts w:ascii="Consolas" w:cs="Consolas" w:eastAsia="Consolas" w:hAnsi="Consolas"/>
          <w:sz w:val="16"/>
          <w:szCs w:val="16"/>
        </w:rPr>
        <w:t xml:space="preserve">$ ./scripts/arranque_base.sh bienestar_limpio --con-semilla</w:t>
      </w:r>
      <w:r>
        <w:br/>
      </w:r>
      <w:r>
        <w:rPr>
          <w:rFonts w:ascii="Consolas" w:cs="Consolas" w:eastAsia="Consolas" w:hAnsi="Consolas"/>
          <w:sz w:val="16"/>
          <w:szCs w:val="16"/>
        </w:rPr>
        <w:t xml:space="preserve">==&gt; 00  rol de aplicación</w:t>
      </w:r>
      <w:r>
        <w:br/>
      </w:r>
      <w:r>
        <w:rPr>
          <w:rFonts w:ascii="Consolas" w:cs="Consolas" w:eastAsia="Consolas" w:hAnsi="Consolas"/>
          <w:sz w:val="16"/>
          <w:szCs w:val="16"/>
        </w:rPr>
        <w:t xml:space="preserve">==&gt; 01  esquema</w:t>
      </w:r>
      <w:r>
        <w:br/>
      </w:r>
      <w:r>
        <w:rPr>
          <w:rFonts w:ascii="Consolas" w:cs="Consolas" w:eastAsia="Consolas" w:hAnsi="Consolas"/>
          <w:sz w:val="16"/>
          <w:szCs w:val="16"/>
        </w:rPr>
        <w:t xml:space="preserve">==&gt; 02  volumen sintético</w:t>
      </w:r>
      <w:r>
        <w:br/>
      </w:r>
      <w:r>
        <w:rPr>
          <w:rFonts w:ascii="Consolas" w:cs="Consolas" w:eastAsia="Consolas" w:hAnsi="Consolas"/>
          <w:sz w:val="16"/>
          <w:szCs w:val="16"/>
        </w:rPr>
        <w:t xml:space="preserve">==&gt; 05  migración 001 (rol motor y funciones SECURITY DEFINER)</w:t>
      </w:r>
      <w:r>
        <w:br/>
      </w:r>
      <w:r>
        <w:rPr>
          <w:rFonts w:ascii="Consolas" w:cs="Consolas" w:eastAsia="Consolas" w:hAnsi="Consolas"/>
          <w:sz w:val="16"/>
          <w:szCs w:val="16"/>
        </w:rPr>
        <w:t xml:space="preserve">==&gt; 09  permisos de menor privilegio</w:t>
      </w:r>
      <w:r>
        <w:br/>
      </w:r>
      <w:r>
        <w:rPr>
          <w:rFonts w:ascii="Consolas" w:cs="Consolas" w:eastAsia="Consolas" w:hAnsi="Consolas"/>
          <w:sz w:val="16"/>
          <w:szCs w:val="16"/>
        </w:rPr>
        <w:t xml:space="preserve">Base bienestar_limpio lista.</w:t>
      </w:r>
    </w:p>
    <w:p>
      <w:pPr>
        <w:pStyle w:val="Heading2"/>
        <w:spacing w:after="120" w:before="240"/>
      </w:pPr>
      <w:r>
        <w:t xml:space="preserve">8.2 Pruebas de frontera de privilegios</w:t>
      </w:r>
    </w:p>
    <w:p>
      <w:pPr>
        <w:spacing w:after="160"/>
        <w:jc w:val="both"/>
      </w:pPr>
      <w:r>
        <w:t xml:space="preserve">Cuatro intentos desde el rol de la aplicación. Los tres primeros deben fallar; el cuarto debe funcionar. Es la combinación la que demuestra el diseño: negar sin la cuarta línea sería un sistema inútil, y permitir sin las tres primeras sería un sistema sin garantía.</w:t>
      </w:r>
    </w:p>
    <w:p>
      <w:pPr>
        <w:pBdr>
          <w:top w:val="single" w:color="CCCCCC" w:sz="4"/>
          <w:left w:val="single" w:color="CCCCCC" w:sz="4"/>
          <w:bottom w:val="single" w:color="CCCCCC" w:sz="4"/>
          <w:right w:val="single" w:color="CCCCCC" w:sz="4"/>
        </w:pBdr>
        <w:shd w:fill="F5F5F5" w:val="clear"/>
        <w:spacing w:after="200"/>
      </w:pPr>
      <w:r>
        <w:rPr>
          <w:rFonts w:ascii="Consolas" w:cs="Consolas" w:eastAsia="Consolas" w:hAnsi="Consolas"/>
          <w:sz w:val="16"/>
          <w:szCs w:val="16"/>
        </w:rPr>
        <w:t xml:space="preserve">A) SELECT count(*) FROM autoreporte.respuesta_detalle;</w:t>
      </w:r>
      <w:r>
        <w:br/>
      </w:r>
      <w:r>
        <w:rPr>
          <w:rFonts w:ascii="Consolas" w:cs="Consolas" w:eastAsia="Consolas" w:hAnsi="Consolas"/>
          <w:sz w:val="16"/>
          <w:szCs w:val="16"/>
        </w:rPr>
        <w:t xml:space="preserve">   ERROR:  permission denied for schema autoreporte</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B) DELETE FROM auditoria.bitacora;</w:t>
      </w:r>
      <w:r>
        <w:br/>
      </w:r>
      <w:r>
        <w:rPr>
          <w:rFonts w:ascii="Consolas" w:cs="Consolas" w:eastAsia="Consolas" w:hAnsi="Consolas"/>
          <w:sz w:val="16"/>
          <w:szCs w:val="16"/>
        </w:rPr>
        <w:t xml:space="preserve">   ERROR:  permission denied for table bitacora</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C) UPDATE agregado.presupuesto_privacidad SET epsilon_consumido=0;</w:t>
      </w:r>
      <w:r>
        <w:br/>
      </w:r>
      <w:r>
        <w:rPr>
          <w:rFonts w:ascii="Consolas" w:cs="Consolas" w:eastAsia="Consolas" w:hAnsi="Consolas"/>
          <w:sz w:val="16"/>
          <w:szCs w:val="16"/>
        </w:rPr>
        <w:t xml:space="preserve">   ERROR:  permission denied for table presupuesto_privacidad</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D) SELECT estado,n,valor_protegido,epsilon</w:t>
      </w:r>
      <w:r>
        <w:br/>
      </w:r>
      <w:r>
        <w:rPr>
          <w:rFonts w:ascii="Consolas" w:cs="Consolas" w:eastAsia="Consolas" w:hAnsi="Consolas"/>
          <w:sz w:val="16"/>
          <w:szCs w:val="16"/>
        </w:rPr>
        <w:t xml:space="preserve">     FROM agregado.fn_calcular_agregado_protegido(</w:t>
      </w:r>
      <w:r>
        <w:br/>
      </w:r>
      <w:r>
        <w:rPr>
          <w:rFonts w:ascii="Consolas" w:cs="Consolas" w:eastAsia="Consolas" w:hAnsi="Consolas"/>
          <w:sz w:val="16"/>
          <w:szCs w:val="16"/>
        </w:rPr>
        <w:t xml:space="preserve">          'CAMP-2026-S1','UO-OPS-CC-T1',NULL,'USR-00003');</w:t>
      </w:r>
      <w:r>
        <w:br/>
      </w:r>
      <w:r>
        <w:rPr>
          <w:rFonts w:ascii="Consolas" w:cs="Consolas" w:eastAsia="Consolas" w:hAnsi="Consolas"/>
          <w:sz w:val="16"/>
          <w:szCs w:val="16"/>
        </w:rPr>
        <w:t xml:space="preserve">   PUBLICADO | 179 | 3.860 | 1.0</w:t>
      </w:r>
    </w:p>
    <w:p>
      <w:pPr>
        <w:pStyle w:val="Heading2"/>
        <w:spacing w:after="120" w:before="240"/>
      </w:pPr>
      <w:r>
        <w:t xml:space="preserve">8.3 Las seis garantías, verificadas por el rol restringido</w:t>
      </w:r>
    </w:p>
    <w:p>
      <w:pPr>
        <w:spacing w:after="160"/>
        <w:jc w:val="both"/>
      </w:pPr>
      <w:r>
        <w:t xml:space="preserve">La verificación de gobernanza se ejecutó conectada como la aplicación, no como superusuario. Eso importa: comprueba que el rol restringido puede auditarse a sí mismo.</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4200"/>
        <w:gridCol w:w="1200"/>
        <w:gridCol w:w="3680"/>
      </w:tblGrid>
      <w:tr>
        <w:trPr>
          <w:tblHeader/>
        </w:trPr>
        <w:tc>
          <w:tcPr>
            <w:tcW w:type="dxa" w:w="4200"/>
            <w:shd w:fill="1F3864" w:val="clear"/>
            <w:tcMar>
              <w:top w:type="dxa" w:w="70"/>
              <w:left w:type="dxa" w:w="100"/>
              <w:bottom w:type="dxa" w:w="70"/>
              <w:right w:type="dxa" w:w="100"/>
            </w:tcMar>
            <w:vAlign w:val="center"/>
          </w:tcPr>
          <w:p>
            <w:pPr>
              <w:jc w:val="center"/>
            </w:pPr>
            <w:r>
              <w:rPr>
                <w:b/>
                <w:bCs/>
                <w:color w:val="FFFFFF"/>
                <w:sz w:val="17"/>
                <w:szCs w:val="17"/>
              </w:rPr>
              <w:t xml:space="preserve">Garantía</w:t>
            </w:r>
          </w:p>
        </w:tc>
        <w:tc>
          <w:tcPr>
            <w:tcW w:type="dxa" w:w="1200"/>
            <w:shd w:fill="1F3864" w:val="clear"/>
            <w:tcMar>
              <w:top w:type="dxa" w:w="70"/>
              <w:left w:type="dxa" w:w="100"/>
              <w:bottom w:type="dxa" w:w="70"/>
              <w:right w:type="dxa" w:w="100"/>
            </w:tcMar>
            <w:vAlign w:val="center"/>
          </w:tcPr>
          <w:p>
            <w:pPr>
              <w:jc w:val="center"/>
            </w:pPr>
            <w:r>
              <w:rPr>
                <w:b/>
                <w:bCs/>
                <w:color w:val="FFFFFF"/>
                <w:sz w:val="17"/>
                <w:szCs w:val="17"/>
              </w:rPr>
              <w:t xml:space="preserve">Cumple</w:t>
            </w:r>
          </w:p>
        </w:tc>
        <w:tc>
          <w:tcPr>
            <w:tcW w:type="dxa" w:w="3680"/>
            <w:shd w:fill="1F3864" w:val="clear"/>
            <w:tcMar>
              <w:top w:type="dxa" w:w="70"/>
              <w:left w:type="dxa" w:w="100"/>
              <w:bottom w:type="dxa" w:w="70"/>
              <w:right w:type="dxa" w:w="100"/>
            </w:tcMar>
            <w:vAlign w:val="center"/>
          </w:tcPr>
          <w:p>
            <w:pPr>
              <w:jc w:val="center"/>
            </w:pPr>
            <w:r>
              <w:rPr>
                <w:b/>
                <w:bCs/>
                <w:color w:val="FFFFFF"/>
                <w:sz w:val="17"/>
                <w:szCs w:val="17"/>
              </w:rPr>
              <w:t xml:space="preserve">Detalle</w:t>
            </w:r>
          </w:p>
        </w:tc>
      </w:tr>
      <w:tr>
        <w:trPr>
          <w:cantSplit/>
        </w:trPr>
        <w:tc>
          <w:tcPr>
            <w:tcW w:type="dxa" w:w="4200"/>
            <w:tcMar>
              <w:top w:type="dxa" w:w="70"/>
              <w:left w:type="dxa" w:w="100"/>
              <w:bottom w:type="dxa" w:w="70"/>
              <w:right w:type="dxa" w:w="100"/>
            </w:tcMar>
            <w:vAlign w:val="center"/>
          </w:tcPr>
          <w:p>
            <w:pPr>
              <w:jc w:val="left"/>
            </w:pPr>
            <w:r>
              <w:rPr>
                <w:b w:val="false"/>
                <w:bCs w:val="false"/>
                <w:color w:val="000000"/>
                <w:sz w:val="16"/>
                <w:szCs w:val="16"/>
              </w:rPr>
              <w:t xml:space="preserve">G1 Intervenciones sin persona objetivo</w:t>
            </w:r>
          </w:p>
        </w:tc>
        <w:tc>
          <w:tcPr>
            <w:tcW w:type="dxa" w:w="1200"/>
            <w:tcMar>
              <w:top w:type="dxa" w:w="70"/>
              <w:left w:type="dxa" w:w="100"/>
              <w:bottom w:type="dxa" w:w="70"/>
              <w:right w:type="dxa" w:w="100"/>
            </w:tcMar>
            <w:vAlign w:val="center"/>
          </w:tcPr>
          <w:p>
            <w:pPr>
              <w:jc w:val="center"/>
            </w:pPr>
            <w:r>
              <w:rPr>
                <w:b w:val="false"/>
                <w:bCs w:val="false"/>
                <w:color w:val="000000"/>
                <w:sz w:val="16"/>
                <w:szCs w:val="16"/>
              </w:rPr>
              <w:t xml:space="preserve">sí</w:t>
            </w:r>
          </w:p>
        </w:tc>
        <w:tc>
          <w:tcPr>
            <w:tcW w:type="dxa" w:w="3680"/>
            <w:tcMar>
              <w:top w:type="dxa" w:w="70"/>
              <w:left w:type="dxa" w:w="100"/>
              <w:bottom w:type="dxa" w:w="70"/>
              <w:right w:type="dxa" w:w="100"/>
            </w:tcMar>
            <w:vAlign w:val="center"/>
          </w:tcPr>
          <w:p>
            <w:pPr>
              <w:jc w:val="center"/>
            </w:pPr>
            <w:r>
              <w:rPr>
                <w:b w:val="false"/>
                <w:bCs w:val="false"/>
                <w:color w:val="000000"/>
                <w:sz w:val="16"/>
                <w:szCs w:val="16"/>
              </w:rPr>
              <w:t xml:space="preserve">Ninguna tabla de intervención admite un empleado o seudónimo objetivo.</w:t>
            </w:r>
          </w:p>
        </w:tc>
      </w:tr>
      <w:tr>
        <w:trPr>
          <w:cantSplit/>
        </w:trPr>
        <w:tc>
          <w:tcPr>
            <w:tcW w:type="dxa" w:w="4200"/>
            <w:shd w:fill="F2F2F2" w:val="clear"/>
            <w:tcMar>
              <w:top w:type="dxa" w:w="70"/>
              <w:left w:type="dxa" w:w="100"/>
              <w:bottom w:type="dxa" w:w="70"/>
              <w:right w:type="dxa" w:w="100"/>
            </w:tcMar>
            <w:vAlign w:val="center"/>
          </w:tcPr>
          <w:p>
            <w:pPr>
              <w:jc w:val="left"/>
            </w:pPr>
            <w:r>
              <w:rPr>
                <w:b w:val="false"/>
                <w:bCs w:val="false"/>
                <w:color w:val="000000"/>
                <w:sz w:val="16"/>
                <w:szCs w:val="16"/>
              </w:rPr>
              <w:t xml:space="preserve">G2 Autorreporte sin identidad</w:t>
            </w:r>
          </w:p>
        </w:tc>
        <w:tc>
          <w:tcPr>
            <w:tcW w:type="dxa" w:w="120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sí</w:t>
            </w:r>
          </w:p>
        </w:tc>
        <w:tc>
          <w:tcPr>
            <w:tcW w:type="dxa" w:w="368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Ninguna tabla de autorreporte contiene empleado_id: solo seudónimo.</w:t>
            </w:r>
          </w:p>
        </w:tc>
      </w:tr>
      <w:tr>
        <w:trPr>
          <w:cantSplit/>
        </w:trPr>
        <w:tc>
          <w:tcPr>
            <w:tcW w:type="dxa" w:w="4200"/>
            <w:tcMar>
              <w:top w:type="dxa" w:w="70"/>
              <w:left w:type="dxa" w:w="100"/>
              <w:bottom w:type="dxa" w:w="70"/>
              <w:right w:type="dxa" w:w="100"/>
            </w:tcMar>
            <w:vAlign w:val="center"/>
          </w:tcPr>
          <w:p>
            <w:pPr>
              <w:jc w:val="left"/>
            </w:pPr>
            <w:r>
              <w:rPr>
                <w:b w:val="false"/>
                <w:bCs w:val="false"/>
                <w:color w:val="000000"/>
                <w:sz w:val="16"/>
                <w:szCs w:val="16"/>
              </w:rPr>
              <w:t xml:space="preserve">G3 Sin puntaje individual publicable</w:t>
            </w:r>
          </w:p>
        </w:tc>
        <w:tc>
          <w:tcPr>
            <w:tcW w:type="dxa" w:w="1200"/>
            <w:tcMar>
              <w:top w:type="dxa" w:w="70"/>
              <w:left w:type="dxa" w:w="100"/>
              <w:bottom w:type="dxa" w:w="70"/>
              <w:right w:type="dxa" w:w="100"/>
            </w:tcMar>
            <w:vAlign w:val="center"/>
          </w:tcPr>
          <w:p>
            <w:pPr>
              <w:jc w:val="center"/>
            </w:pPr>
            <w:r>
              <w:rPr>
                <w:b w:val="false"/>
                <w:bCs w:val="false"/>
                <w:color w:val="000000"/>
                <w:sz w:val="16"/>
                <w:szCs w:val="16"/>
              </w:rPr>
              <w:t xml:space="preserve">sí</w:t>
            </w:r>
          </w:p>
        </w:tc>
        <w:tc>
          <w:tcPr>
            <w:tcW w:type="dxa" w:w="3680"/>
            <w:tcMar>
              <w:top w:type="dxa" w:w="70"/>
              <w:left w:type="dxa" w:w="100"/>
              <w:bottom w:type="dxa" w:w="70"/>
              <w:right w:type="dxa" w:w="100"/>
            </w:tcMar>
            <w:vAlign w:val="center"/>
          </w:tcPr>
          <w:p>
            <w:pPr>
              <w:jc w:val="center"/>
            </w:pPr>
            <w:r>
              <w:rPr>
                <w:b w:val="false"/>
                <w:bCs w:val="false"/>
                <w:color w:val="000000"/>
                <w:sz w:val="16"/>
                <w:szCs w:val="16"/>
              </w:rPr>
              <w:t xml:space="preserve">Riesgo y agregación operan solo sobre unidades.</w:t>
            </w:r>
          </w:p>
        </w:tc>
      </w:tr>
      <w:tr>
        <w:trPr>
          <w:cantSplit/>
        </w:trPr>
        <w:tc>
          <w:tcPr>
            <w:tcW w:type="dxa" w:w="4200"/>
            <w:shd w:fill="F2F2F2" w:val="clear"/>
            <w:tcMar>
              <w:top w:type="dxa" w:w="70"/>
              <w:left w:type="dxa" w:w="100"/>
              <w:bottom w:type="dxa" w:w="70"/>
              <w:right w:type="dxa" w:w="100"/>
            </w:tcMar>
            <w:vAlign w:val="center"/>
          </w:tcPr>
          <w:p>
            <w:pPr>
              <w:jc w:val="left"/>
            </w:pPr>
            <w:r>
              <w:rPr>
                <w:b w:val="false"/>
                <w:bCs w:val="false"/>
                <w:color w:val="000000"/>
                <w:sz w:val="16"/>
                <w:szCs w:val="16"/>
              </w:rPr>
              <w:t xml:space="preserve">G4 Toda publicación lleva épsilon</w:t>
            </w:r>
          </w:p>
        </w:tc>
        <w:tc>
          <w:tcPr>
            <w:tcW w:type="dxa" w:w="120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sí</w:t>
            </w:r>
          </w:p>
        </w:tc>
        <w:tc>
          <w:tcPr>
            <w:tcW w:type="dxa" w:w="368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Ningún resultado publicado carece del mecanismo aplicado.</w:t>
            </w:r>
          </w:p>
        </w:tc>
      </w:tr>
      <w:tr>
        <w:trPr>
          <w:cantSplit/>
        </w:trPr>
        <w:tc>
          <w:tcPr>
            <w:tcW w:type="dxa" w:w="4200"/>
            <w:tcMar>
              <w:top w:type="dxa" w:w="70"/>
              <w:left w:type="dxa" w:w="100"/>
              <w:bottom w:type="dxa" w:w="70"/>
              <w:right w:type="dxa" w:w="100"/>
            </w:tcMar>
            <w:vAlign w:val="center"/>
          </w:tcPr>
          <w:p>
            <w:pPr>
              <w:jc w:val="left"/>
            </w:pPr>
            <w:r>
              <w:rPr>
                <w:b w:val="false"/>
                <w:bCs w:val="false"/>
                <w:color w:val="000000"/>
                <w:sz w:val="16"/>
                <w:szCs w:val="16"/>
              </w:rPr>
              <w:t xml:space="preserve">G5 Toda publicación respeta el umbral k</w:t>
            </w:r>
          </w:p>
        </w:tc>
        <w:tc>
          <w:tcPr>
            <w:tcW w:type="dxa" w:w="1200"/>
            <w:tcMar>
              <w:top w:type="dxa" w:w="70"/>
              <w:left w:type="dxa" w:w="100"/>
              <w:bottom w:type="dxa" w:w="70"/>
              <w:right w:type="dxa" w:w="100"/>
            </w:tcMar>
            <w:vAlign w:val="center"/>
          </w:tcPr>
          <w:p>
            <w:pPr>
              <w:jc w:val="center"/>
            </w:pPr>
            <w:r>
              <w:rPr>
                <w:b w:val="false"/>
                <w:bCs w:val="false"/>
                <w:color w:val="000000"/>
                <w:sz w:val="16"/>
                <w:szCs w:val="16"/>
              </w:rPr>
              <w:t xml:space="preserve">sí</w:t>
            </w:r>
          </w:p>
        </w:tc>
        <w:tc>
          <w:tcPr>
            <w:tcW w:type="dxa" w:w="3680"/>
            <w:tcMar>
              <w:top w:type="dxa" w:w="70"/>
              <w:left w:type="dxa" w:w="100"/>
              <w:bottom w:type="dxa" w:w="70"/>
              <w:right w:type="dxa" w:w="100"/>
            </w:tcMar>
            <w:vAlign w:val="center"/>
          </w:tcPr>
          <w:p>
            <w:pPr>
              <w:jc w:val="center"/>
            </w:pPr>
            <w:r>
              <w:rPr>
                <w:b w:val="false"/>
                <w:bCs w:val="false"/>
                <w:color w:val="000000"/>
                <w:sz w:val="16"/>
                <w:szCs w:val="16"/>
              </w:rPr>
              <w:t xml:space="preserve">Ningún resultado publicado proviene de un grupo menor que k.</w:t>
            </w:r>
          </w:p>
        </w:tc>
      </w:tr>
      <w:tr>
        <w:trPr>
          <w:cantSplit/>
        </w:trPr>
        <w:tc>
          <w:tcPr>
            <w:tcW w:type="dxa" w:w="4200"/>
            <w:shd w:fill="F2F2F2" w:val="clear"/>
            <w:tcMar>
              <w:top w:type="dxa" w:w="70"/>
              <w:left w:type="dxa" w:w="100"/>
              <w:bottom w:type="dxa" w:w="70"/>
              <w:right w:type="dxa" w:w="100"/>
            </w:tcMar>
            <w:vAlign w:val="center"/>
          </w:tcPr>
          <w:p>
            <w:pPr>
              <w:jc w:val="left"/>
            </w:pPr>
            <w:r>
              <w:rPr>
                <w:b w:val="false"/>
                <w:bCs w:val="false"/>
                <w:color w:val="000000"/>
                <w:sz w:val="16"/>
                <w:szCs w:val="16"/>
              </w:rPr>
              <w:t xml:space="preserve">G6 Fuentes de vigilancia bloqueadas</w:t>
            </w:r>
          </w:p>
        </w:tc>
        <w:tc>
          <w:tcPr>
            <w:tcW w:type="dxa" w:w="120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sí</w:t>
            </w:r>
          </w:p>
        </w:tc>
        <w:tc>
          <w:tcPr>
            <w:tcW w:type="dxa" w:w="368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Ningún instrumento se alimenta de una fuente no autorizada.</w:t>
            </w:r>
          </w:p>
        </w:tc>
      </w:tr>
    </w:tbl>
    <w:p>
      <w:pPr>
        <w:pStyle w:val="Heading2"/>
        <w:spacing w:after="120" w:before="240"/>
      </w:pPr>
      <w:r>
        <w:t xml:space="preserve">8.4 Prueba de humo del ambiente</w:t>
      </w:r>
    </w:p>
    <w:p>
      <w:pPr>
        <w:pBdr>
          <w:top w:val="single" w:color="CCCCCC" w:sz="4"/>
          <w:left w:val="single" w:color="CCCCCC" w:sz="4"/>
          <w:bottom w:val="single" w:color="CCCCCC" w:sz="4"/>
          <w:right w:val="single" w:color="CCCCCC" w:sz="4"/>
        </w:pBdr>
        <w:shd w:fill="F5F5F5" w:val="clear"/>
        <w:spacing w:after="200"/>
      </w:pPr>
      <w:r>
        <w:rPr>
          <w:rFonts w:ascii="Consolas" w:cs="Consolas" w:eastAsia="Consolas" w:hAnsi="Consolas"/>
          <w:sz w:val="16"/>
          <w:szCs w:val="16"/>
        </w:rPr>
        <w:t xml:space="preserve">$ ./scripts/probar.sh developer</w:t>
      </w:r>
      <w:r>
        <w:br/>
      </w:r>
      <w:r>
        <w:rPr>
          <w:rFonts w:ascii="Consolas" w:cs="Consolas" w:eastAsia="Consolas" w:hAnsi="Consolas"/>
          <w:sz w:val="16"/>
          <w:szCs w:val="16"/>
        </w:rPr>
        <w:t xml:space="preserve">Prueba de humo — ambiente developer</w:t>
      </w:r>
      <w:r>
        <w:br/>
      </w:r>
      <w:r>
        <w:rPr>
          <w:rFonts w:ascii="Consolas" w:cs="Consolas" w:eastAsia="Consolas" w:hAnsi="Consolas"/>
          <w:sz w:val="16"/>
          <w:szCs w:val="16"/>
        </w:rPr>
        <w:t xml:space="preserve">  OK   el proceso responde</w:t>
      </w:r>
      <w:r>
        <w:br/>
      </w:r>
      <w:r>
        <w:rPr>
          <w:rFonts w:ascii="Consolas" w:cs="Consolas" w:eastAsia="Consolas" w:hAnsi="Consolas"/>
          <w:sz w:val="16"/>
          <w:szCs w:val="16"/>
        </w:rPr>
        <w:t xml:space="preserve">  OK   el ambiente reportado es developer</w:t>
      </w:r>
      <w:r>
        <w:br/>
      </w:r>
      <w:r>
        <w:rPr>
          <w:rFonts w:ascii="Consolas" w:cs="Consolas" w:eastAsia="Consolas" w:hAnsi="Consolas"/>
          <w:sz w:val="16"/>
          <w:szCs w:val="16"/>
        </w:rPr>
        <w:t xml:space="preserve">  OK   PostgreSQL y Redis contestan</w:t>
      </w:r>
      <w:r>
        <w:br/>
      </w:r>
      <w:r>
        <w:rPr>
          <w:rFonts w:ascii="Consolas" w:cs="Consolas" w:eastAsia="Consolas" w:hAnsi="Consolas"/>
          <w:sz w:val="16"/>
          <w:szCs w:val="16"/>
        </w:rPr>
        <w:t xml:space="preserve">  OK   el agregado protegido se calcula</w:t>
      </w:r>
      <w:r>
        <w:br/>
      </w:r>
      <w:r>
        <w:rPr>
          <w:rFonts w:ascii="Consolas" w:cs="Consolas" w:eastAsia="Consolas" w:hAnsi="Consolas"/>
          <w:sz w:val="16"/>
          <w:szCs w:val="16"/>
        </w:rPr>
        <w:t xml:space="preserve">  OK   la segunda consulta llega desde la caché</w:t>
      </w:r>
      <w:r>
        <w:br/>
      </w:r>
      <w:r>
        <w:rPr>
          <w:rFonts w:ascii="Consolas" w:cs="Consolas" w:eastAsia="Consolas" w:hAnsi="Consolas"/>
          <w:sz w:val="16"/>
          <w:szCs w:val="16"/>
        </w:rPr>
        <w:t xml:space="preserve">Resultado: 5/5</w:t>
      </w:r>
    </w:p>
    <w:p>
      <w:pPr>
        <w:pStyle w:val="Heading2"/>
        <w:spacing w:after="120" w:before="240"/>
      </w:pPr>
      <w:r>
        <w:t xml:space="preserve">8.5 Sondas de salud</w:t>
      </w:r>
    </w:p>
    <w:p>
      <w:pPr>
        <w:spacing w:after="160"/>
        <w:jc w:val="both"/>
      </w:pPr>
      <w:r>
        <w:t xml:space="preserve">El servicio separa la sonda de proceso vivo de la sonda de servicio listo. Un proceso vivo cuya base de datos no responde no debe recibir tráfico, y el balanceador necesita poder distinguir ambos casos.</w:t>
      </w:r>
    </w:p>
    <w:p>
      <w:pPr>
        <w:pBdr>
          <w:top w:val="single" w:color="CCCCCC" w:sz="4"/>
          <w:left w:val="single" w:color="CCCCCC" w:sz="4"/>
          <w:bottom w:val="single" w:color="CCCCCC" w:sz="4"/>
          <w:right w:val="single" w:color="CCCCCC" w:sz="4"/>
        </w:pBdr>
        <w:shd w:fill="F5F5F5" w:val="clear"/>
        <w:spacing w:after="200"/>
      </w:pPr>
      <w:r>
        <w:rPr>
          <w:rFonts w:ascii="Consolas" w:cs="Consolas" w:eastAsia="Consolas" w:hAnsi="Consolas"/>
          <w:sz w:val="16"/>
          <w:szCs w:val="16"/>
        </w:rPr>
        <w:t xml:space="preserve">$ curl -s localhost:8000/salud</w:t>
      </w:r>
      <w:r>
        <w:br/>
      </w:r>
      <w:r>
        <w:rPr>
          <w:rFonts w:ascii="Consolas" w:cs="Consolas" w:eastAsia="Consolas" w:hAnsi="Consolas"/>
          <w:sz w:val="16"/>
          <w:szCs w:val="16"/>
        </w:rPr>
        <w:t xml:space="preserve">{"ambiente":"developer","estado":"vivo"}</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curl -s localhost:8000/listo</w:t>
      </w:r>
      <w:r>
        <w:br/>
      </w:r>
      <w:r>
        <w:rPr>
          <w:rFonts w:ascii="Consolas" w:cs="Consolas" w:eastAsia="Consolas" w:hAnsi="Consolas"/>
          <w:sz w:val="16"/>
          <w:szCs w:val="16"/>
        </w:rPr>
        <w:t xml:space="preserve">{"ambiente":"developer","estado":"listo","dependencias":{</w:t>
      </w:r>
      <w:r>
        <w:br/>
      </w:r>
      <w:r>
        <w:rPr>
          <w:rFonts w:ascii="Consolas" w:cs="Consolas" w:eastAsia="Consolas" w:hAnsi="Consolas"/>
          <w:sz w:val="16"/>
          <w:szCs w:val="16"/>
        </w:rPr>
        <w:t xml:space="preserve">  "postgresql":{"ok":true,"ms":14.3},</w:t>
      </w:r>
      <w:r>
        <w:br/>
      </w:r>
      <w:r>
        <w:rPr>
          <w:rFonts w:ascii="Consolas" w:cs="Consolas" w:eastAsia="Consolas" w:hAnsi="Consolas"/>
          <w:sz w:val="16"/>
          <w:szCs w:val="16"/>
        </w:rPr>
        <w:t xml:space="preserve">  "redis":{"ok":true,"ms":3.7}}}</w:t>
      </w:r>
    </w:p>
    <w:p>
      <w:pPr>
        <w:pStyle w:val="Heading2"/>
        <w:spacing w:after="120" w:before="240"/>
      </w:pPr>
      <w:r>
        <w:t xml:space="preserve">8.6 Degradación con Redis caído</w:t>
      </w:r>
    </w:p>
    <w:p>
      <w:pPr>
        <w:spacing w:after="160"/>
        <w:jc w:val="both"/>
      </w:pPr>
      <w:r>
        <w:t xml:space="preserve">Se apagó Redis con la aplicación en marcha, para comprobar que la caché es una optimización y no una dependencia dura.</w:t>
      </w:r>
    </w:p>
    <w:p>
      <w:pPr>
        <w:pBdr>
          <w:top w:val="single" w:color="CCCCCC" w:sz="4"/>
          <w:left w:val="single" w:color="CCCCCC" w:sz="4"/>
          <w:bottom w:val="single" w:color="CCCCCC" w:sz="4"/>
          <w:right w:val="single" w:color="CCCCCC" w:sz="4"/>
        </w:pBdr>
        <w:shd w:fill="F5F5F5" w:val="clear"/>
        <w:spacing w:after="200"/>
      </w:pPr>
      <w:r>
        <w:rPr>
          <w:rFonts w:ascii="Consolas" w:cs="Consolas" w:eastAsia="Consolas" w:hAnsi="Consolas"/>
          <w:sz w:val="16"/>
          <w:szCs w:val="16"/>
        </w:rPr>
        <w:t xml:space="preserve">$ redis-cli shutdown nosave</w:t>
      </w:r>
      <w:r>
        <w:br/>
      </w:r>
      <w:r>
        <w:rPr>
          <w:rFonts w:ascii="Consolas" w:cs="Consolas" w:eastAsia="Consolas" w:hAnsi="Consolas"/>
          <w:sz w:val="16"/>
          <w:szCs w:val="16"/>
        </w:rPr>
        <w:t xml:space="preserve">$ curl -s -H 'X-Actor-Id: USR-00003' localhost:8000/agregado/CAMP-2026-S1/UO-CAL-T1</w:t>
      </w:r>
      <w:r>
        <w:br/>
      </w:r>
      <w:r>
        <w:rPr>
          <w:rFonts w:ascii="Consolas" w:cs="Consolas" w:eastAsia="Consolas" w:hAnsi="Consolas"/>
          <w:sz w:val="16"/>
          <w:szCs w:val="16"/>
        </w:rPr>
        <w:t xml:space="preserve">{"estado":"PUBLICADO","n":61,"valor_protegido":3.864,"epsilon":1.0,</w:t>
      </w:r>
      <w:r>
        <w:br/>
      </w:r>
      <w:r>
        <w:rPr>
          <w:rFonts w:ascii="Consolas" w:cs="Consolas" w:eastAsia="Consolas" w:hAnsi="Consolas"/>
          <w:sz w:val="16"/>
          <w:szCs w:val="16"/>
        </w:rPr>
        <w:t xml:space="preserve"> "escala_ruido":0.065574,</w:t>
      </w:r>
      <w:r>
        <w:br/>
      </w:r>
      <w:r>
        <w:rPr>
          <w:rFonts w:ascii="Consolas" w:cs="Consolas" w:eastAsia="Consolas" w:hAnsi="Consolas"/>
          <w:sz w:val="16"/>
          <w:szCs w:val="16"/>
        </w:rPr>
        <w:t xml:space="preserve"> "mensaje":"Valor protegido con ruido de Laplace. Precision:</w:t>
      </w:r>
      <w:r>
        <w:br/>
      </w:r>
      <w:r>
        <w:rPr>
          <w:rFonts w:ascii="Consolas" w:cs="Consolas" w:eastAsia="Consolas" w:hAnsi="Consolas"/>
          <w:sz w:val="16"/>
          <w:szCs w:val="16"/>
        </w:rPr>
        <w:t xml:space="preserve">            PRECISION_SUFICIENTE (error esperado 0.07 puntos)."}</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curl -s -o /dev/null -w '%{http_code}' localhost:8000/listo</w:t>
      </w:r>
      <w:r>
        <w:br/>
      </w:r>
      <w:r>
        <w:rPr>
          <w:rFonts w:ascii="Consolas" w:cs="Consolas" w:eastAsia="Consolas" w:hAnsi="Consolas"/>
          <w:sz w:val="16"/>
          <w:szCs w:val="16"/>
        </w:rPr>
        <w:t xml:space="preserve">503</w:t>
      </w:r>
    </w:p>
    <w:p>
      <w:pPr>
        <w:spacing w:after="160"/>
        <w:jc w:val="both"/>
      </w:pPr>
      <w:r>
        <w:rPr>
          <w:b/>
          <w:bCs/>
          <w:i w:val="false"/>
          <w:iCs w:val="false"/>
        </w:rPr>
        <w:t xml:space="preserve">Interpretación: </w:t>
      </w:r>
      <w:r>
        <w:rPr>
          <w:b w:val="false"/>
          <w:bCs w:val="false"/>
          <w:i w:val="false"/>
          <w:iCs w:val="false"/>
        </w:rPr>
        <w:t xml:space="preserve">la consulta siguió respondiendo correctamente desde la base de datos, y al mismo tiempo la sonda de servicio listo devolvió 503. Ese es el comportamiento deseado: el usuario no ve una falla, y el balanceador sabe que esa instancia está degradada y puede sacarla de rotación.</w:t>
      </w:r>
    </w:p>
    <w:p>
      <w:pPr>
        <w:pStyle w:val="Heading2"/>
        <w:spacing w:after="120" w:before="240"/>
      </w:pPr>
      <w:r>
        <w:t xml:space="preserve">8.7 Consumo del presupuesto de privacidad a través de la aplicación</w:t>
      </w:r>
    </w:p>
    <w:p>
      <w:pPr>
        <w:spacing w:after="160"/>
        <w:jc w:val="both"/>
      </w:pPr>
      <w:r>
        <w:t xml:space="preserve">Tras las consultas de la prueba, el presupuesto quedó consumido en la cantidad exacta esperada. La aplicación no puede escribir esta tabla; el consumo lo hizo el mecanismo.</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3400"/>
        <w:gridCol w:w="1900"/>
        <w:gridCol w:w="1900"/>
        <w:gridCol w:w="1880"/>
      </w:tblGrid>
      <w:tr>
        <w:trPr>
          <w:tblHeader/>
        </w:trPr>
        <w:tc>
          <w:tcPr>
            <w:tcW w:type="dxa" w:w="3400"/>
            <w:shd w:fill="1F3864" w:val="clear"/>
            <w:tcMar>
              <w:top w:type="dxa" w:w="70"/>
              <w:left w:type="dxa" w:w="100"/>
              <w:bottom w:type="dxa" w:w="70"/>
              <w:right w:type="dxa" w:w="100"/>
            </w:tcMar>
            <w:vAlign w:val="center"/>
          </w:tcPr>
          <w:p>
            <w:pPr>
              <w:jc w:val="center"/>
            </w:pPr>
            <w:r>
              <w:rPr>
                <w:b/>
                <w:bCs/>
                <w:color w:val="FFFFFF"/>
                <w:sz w:val="17"/>
                <w:szCs w:val="17"/>
              </w:rPr>
              <w:t xml:space="preserve">Unidad</w:t>
            </w:r>
          </w:p>
        </w:tc>
        <w:tc>
          <w:tcPr>
            <w:tcW w:type="dxa" w:w="1900"/>
            <w:shd w:fill="1F3864" w:val="clear"/>
            <w:tcMar>
              <w:top w:type="dxa" w:w="70"/>
              <w:left w:type="dxa" w:w="100"/>
              <w:bottom w:type="dxa" w:w="70"/>
              <w:right w:type="dxa" w:w="100"/>
            </w:tcMar>
            <w:vAlign w:val="center"/>
          </w:tcPr>
          <w:p>
            <w:pPr>
              <w:jc w:val="center"/>
            </w:pPr>
            <w:r>
              <w:rPr>
                <w:b/>
                <w:bCs/>
                <w:color w:val="FFFFFF"/>
                <w:sz w:val="17"/>
                <w:szCs w:val="17"/>
              </w:rPr>
              <w:t xml:space="preserve">Épsilon consumido</w:t>
            </w:r>
          </w:p>
        </w:tc>
        <w:tc>
          <w:tcPr>
            <w:tcW w:type="dxa" w:w="1900"/>
            <w:shd w:fill="1F3864" w:val="clear"/>
            <w:tcMar>
              <w:top w:type="dxa" w:w="70"/>
              <w:left w:type="dxa" w:w="100"/>
              <w:bottom w:type="dxa" w:w="70"/>
              <w:right w:type="dxa" w:w="100"/>
            </w:tcMar>
            <w:vAlign w:val="center"/>
          </w:tcPr>
          <w:p>
            <w:pPr>
              <w:jc w:val="center"/>
            </w:pPr>
            <w:r>
              <w:rPr>
                <w:b/>
                <w:bCs/>
                <w:color w:val="FFFFFF"/>
                <w:sz w:val="17"/>
                <w:szCs w:val="17"/>
              </w:rPr>
              <w:t xml:space="preserve">Total</w:t>
            </w:r>
          </w:p>
        </w:tc>
        <w:tc>
          <w:tcPr>
            <w:tcW w:type="dxa" w:w="1880"/>
            <w:shd w:fill="1F3864" w:val="clear"/>
            <w:tcMar>
              <w:top w:type="dxa" w:w="70"/>
              <w:left w:type="dxa" w:w="100"/>
              <w:bottom w:type="dxa" w:w="70"/>
              <w:right w:type="dxa" w:w="100"/>
            </w:tcMar>
            <w:vAlign w:val="center"/>
          </w:tcPr>
          <w:p>
            <w:pPr>
              <w:jc w:val="center"/>
            </w:pPr>
            <w:r>
              <w:rPr>
                <w:b/>
                <w:bCs/>
                <w:color w:val="FFFFFF"/>
                <w:sz w:val="17"/>
                <w:szCs w:val="17"/>
              </w:rPr>
              <w:t xml:space="preserve">Agotado</w:t>
            </w:r>
          </w:p>
        </w:tc>
      </w:tr>
      <w:tr>
        <w:trPr>
          <w:cantSplit/>
        </w:trPr>
        <w:tc>
          <w:tcPr>
            <w:tcW w:type="dxa" w:w="3400"/>
            <w:tcMar>
              <w:top w:type="dxa" w:w="70"/>
              <w:left w:type="dxa" w:w="100"/>
              <w:bottom w:type="dxa" w:w="70"/>
              <w:right w:type="dxa" w:w="100"/>
            </w:tcMar>
            <w:vAlign w:val="center"/>
          </w:tcPr>
          <w:p>
            <w:pPr>
              <w:jc w:val="left"/>
            </w:pPr>
            <w:r>
              <w:rPr>
                <w:b w:val="false"/>
                <w:bCs w:val="false"/>
                <w:color w:val="000000"/>
                <w:sz w:val="16"/>
                <w:szCs w:val="16"/>
              </w:rPr>
              <w:t xml:space="preserve">UO-OPS-CC-T1</w:t>
            </w:r>
          </w:p>
        </w:tc>
        <w:tc>
          <w:tcPr>
            <w:tcW w:type="dxa" w:w="1900"/>
            <w:tcMar>
              <w:top w:type="dxa" w:w="70"/>
              <w:left w:type="dxa" w:w="100"/>
              <w:bottom w:type="dxa" w:w="70"/>
              <w:right w:type="dxa" w:w="100"/>
            </w:tcMar>
            <w:vAlign w:val="center"/>
          </w:tcPr>
          <w:p>
            <w:pPr>
              <w:jc w:val="center"/>
            </w:pPr>
            <w:r>
              <w:rPr>
                <w:b w:val="false"/>
                <w:bCs w:val="false"/>
                <w:color w:val="000000"/>
                <w:sz w:val="16"/>
                <w:szCs w:val="16"/>
              </w:rPr>
              <w:t xml:space="preserve">1.00</w:t>
            </w:r>
          </w:p>
        </w:tc>
        <w:tc>
          <w:tcPr>
            <w:tcW w:type="dxa" w:w="1900"/>
            <w:tcMar>
              <w:top w:type="dxa" w:w="70"/>
              <w:left w:type="dxa" w:w="100"/>
              <w:bottom w:type="dxa" w:w="70"/>
              <w:right w:type="dxa" w:w="100"/>
            </w:tcMar>
            <w:vAlign w:val="center"/>
          </w:tcPr>
          <w:p>
            <w:pPr>
              <w:jc w:val="center"/>
            </w:pPr>
            <w:r>
              <w:rPr>
                <w:b w:val="false"/>
                <w:bCs w:val="false"/>
                <w:color w:val="000000"/>
                <w:sz w:val="16"/>
                <w:szCs w:val="16"/>
              </w:rPr>
              <w:t xml:space="preserve">8.0000</w:t>
            </w:r>
          </w:p>
        </w:tc>
        <w:tc>
          <w:tcPr>
            <w:tcW w:type="dxa" w:w="1880"/>
            <w:tcMar>
              <w:top w:type="dxa" w:w="70"/>
              <w:left w:type="dxa" w:w="100"/>
              <w:bottom w:type="dxa" w:w="70"/>
              <w:right w:type="dxa" w:w="100"/>
            </w:tcMar>
            <w:vAlign w:val="center"/>
          </w:tcPr>
          <w:p>
            <w:pPr>
              <w:jc w:val="center"/>
            </w:pPr>
            <w:r>
              <w:rPr>
                <w:b w:val="false"/>
                <w:bCs w:val="false"/>
                <w:color w:val="000000"/>
                <w:sz w:val="16"/>
                <w:szCs w:val="16"/>
              </w:rPr>
              <w:t xml:space="preserve">no</w:t>
            </w:r>
          </w:p>
        </w:tc>
      </w:tr>
      <w:tr>
        <w:trPr>
          <w:cantSplit/>
        </w:trPr>
        <w:tc>
          <w:tcPr>
            <w:tcW w:type="dxa" w:w="3400"/>
            <w:shd w:fill="F2F2F2" w:val="clear"/>
            <w:tcMar>
              <w:top w:type="dxa" w:w="70"/>
              <w:left w:type="dxa" w:w="100"/>
              <w:bottom w:type="dxa" w:w="70"/>
              <w:right w:type="dxa" w:w="100"/>
            </w:tcMar>
            <w:vAlign w:val="center"/>
          </w:tcPr>
          <w:p>
            <w:pPr>
              <w:jc w:val="left"/>
            </w:pPr>
            <w:r>
              <w:rPr>
                <w:b w:val="false"/>
                <w:bCs w:val="false"/>
                <w:color w:val="000000"/>
                <w:sz w:val="16"/>
                <w:szCs w:val="16"/>
              </w:rPr>
              <w:t xml:space="preserve">UO-CAL-T1</w:t>
            </w:r>
          </w:p>
        </w:tc>
        <w:tc>
          <w:tcPr>
            <w:tcW w:type="dxa" w:w="190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1.00</w:t>
            </w:r>
          </w:p>
        </w:tc>
        <w:tc>
          <w:tcPr>
            <w:tcW w:type="dxa" w:w="190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8.0000</w:t>
            </w:r>
          </w:p>
        </w:tc>
        <w:tc>
          <w:tcPr>
            <w:tcW w:type="dxa" w:w="188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no</w:t>
            </w:r>
          </w:p>
        </w:tc>
      </w:tr>
    </w:tbl>
    <w:p>
      <w:pPr>
        <w:pStyle w:val="Heading1"/>
        <w:spacing w:after="160" w:before="320"/>
      </w:pPr>
      <w:r>
        <w:t xml:space="preserve">9. Limitaciones declaradas</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3980"/>
      </w:tblGrid>
      <w:tr>
        <w:trPr>
          <w:tblHeader/>
        </w:trPr>
        <w:tc>
          <w:tcPr>
            <w:tcW w:type="dxa" w:w="900"/>
            <w:shd w:fill="1F3864" w:val="clear"/>
            <w:tcMar>
              <w:top w:type="dxa" w:w="70"/>
              <w:left w:type="dxa" w:w="100"/>
              <w:bottom w:type="dxa" w:w="70"/>
              <w:right w:type="dxa" w:w="100"/>
            </w:tcMar>
            <w:vAlign w:val="center"/>
          </w:tcPr>
          <w:p>
            <w:pPr>
              <w:jc w:val="center"/>
            </w:pPr>
            <w:r>
              <w:rPr>
                <w:b/>
                <w:bCs/>
                <w:color w:val="FFFFFF"/>
                <w:sz w:val="17"/>
                <w:szCs w:val="17"/>
              </w:rPr>
              <w:t xml:space="preserve">#</w:t>
            </w:r>
          </w:p>
        </w:tc>
        <w:tc>
          <w:tcPr>
            <w:tcW w:type="dxa" w:w="4200"/>
            <w:shd w:fill="1F3864" w:val="clear"/>
            <w:tcMar>
              <w:top w:type="dxa" w:w="70"/>
              <w:left w:type="dxa" w:w="100"/>
              <w:bottom w:type="dxa" w:w="70"/>
              <w:right w:type="dxa" w:w="100"/>
            </w:tcMar>
            <w:vAlign w:val="center"/>
          </w:tcPr>
          <w:p>
            <w:pPr>
              <w:jc w:val="center"/>
            </w:pPr>
            <w:r>
              <w:rPr>
                <w:b/>
                <w:bCs/>
                <w:color w:val="FFFFFF"/>
                <w:sz w:val="17"/>
                <w:szCs w:val="17"/>
              </w:rPr>
              <w:t xml:space="preserve">Limitación</w:t>
            </w:r>
          </w:p>
        </w:tc>
        <w:tc>
          <w:tcPr>
            <w:tcW w:type="dxa" w:w="3980"/>
            <w:shd w:fill="1F3864" w:val="clear"/>
            <w:tcMar>
              <w:top w:type="dxa" w:w="70"/>
              <w:left w:type="dxa" w:w="100"/>
              <w:bottom w:type="dxa" w:w="70"/>
              <w:right w:type="dxa" w:w="100"/>
            </w:tcMar>
            <w:vAlign w:val="center"/>
          </w:tcPr>
          <w:p>
            <w:pPr>
              <w:jc w:val="center"/>
            </w:pPr>
            <w:r>
              <w:rPr>
                <w:b/>
                <w:bCs/>
                <w:color w:val="FFFFFF"/>
                <w:sz w:val="17"/>
                <w:szCs w:val="17"/>
              </w:rPr>
              <w:t xml:space="preserve">Consecuencia y tratamiento</w:t>
            </w:r>
          </w:p>
        </w:tc>
      </w:tr>
      <w:tr>
        <w:trPr>
          <w:cantSplit/>
        </w:trPr>
        <w:tc>
          <w:tcPr>
            <w:tcW w:type="dxa" w:w="900"/>
            <w:tcMar>
              <w:top w:type="dxa" w:w="70"/>
              <w:left w:type="dxa" w:w="100"/>
              <w:bottom w:type="dxa" w:w="70"/>
              <w:right w:type="dxa" w:w="100"/>
            </w:tcMar>
            <w:vAlign w:val="center"/>
          </w:tcPr>
          <w:p>
            <w:pPr>
              <w:jc w:val="left"/>
            </w:pPr>
            <w:r>
              <w:rPr>
                <w:b w:val="false"/>
                <w:bCs w:val="false"/>
                <w:color w:val="000000"/>
                <w:sz w:val="16"/>
                <w:szCs w:val="16"/>
              </w:rPr>
              <w:t xml:space="preserve">1</w:t>
            </w:r>
          </w:p>
        </w:tc>
        <w:tc>
          <w:tcPr>
            <w:tcW w:type="dxa" w:w="4200"/>
            <w:tcMar>
              <w:top w:type="dxa" w:w="70"/>
              <w:left w:type="dxa" w:w="100"/>
              <w:bottom w:type="dxa" w:w="70"/>
              <w:right w:type="dxa" w:w="100"/>
            </w:tcMar>
            <w:vAlign w:val="center"/>
          </w:tcPr>
          <w:p>
            <w:pPr>
              <w:jc w:val="center"/>
            </w:pPr>
            <w:r>
              <w:rPr>
                <w:b w:val="false"/>
                <w:bCs w:val="false"/>
                <w:color w:val="000000"/>
                <w:sz w:val="16"/>
                <w:szCs w:val="16"/>
              </w:rPr>
              <w:t xml:space="preserve">Las imágenes de contenedor no se pudieron descargar en el entorno donde se redactó este documento.</w:t>
            </w:r>
          </w:p>
        </w:tc>
        <w:tc>
          <w:tcPr>
            <w:tcW w:type="dxa" w:w="3980"/>
            <w:tcMar>
              <w:top w:type="dxa" w:w="70"/>
              <w:left w:type="dxa" w:w="100"/>
              <w:bottom w:type="dxa" w:w="70"/>
              <w:right w:type="dxa" w:w="100"/>
            </w:tcMar>
            <w:vAlign w:val="center"/>
          </w:tcPr>
          <w:p>
            <w:pPr>
              <w:jc w:val="center"/>
            </w:pPr>
            <w:r>
              <w:rPr>
                <w:b w:val="false"/>
                <w:bCs w:val="false"/>
                <w:color w:val="000000"/>
                <w:sz w:val="16"/>
                <w:szCs w:val="16"/>
              </w:rPr>
              <w:t xml:space="preserve">La configuración de los tres ambientes se verificó por resolución completa, y la cadena de arranque de la base y la aplicación se ejecutaron contra PostgreSQL y Redis reales. Falta ejecutar el arranque dentro de contenedores en una máquina del equipo.</w:t>
            </w:r>
          </w:p>
        </w:tc>
      </w:tr>
      <w:tr>
        <w:trPr>
          <w:cantSplit/>
        </w:trPr>
        <w:tc>
          <w:tcPr>
            <w:tcW w:type="dxa" w:w="900"/>
            <w:shd w:fill="F2F2F2" w:val="clear"/>
            <w:tcMar>
              <w:top w:type="dxa" w:w="70"/>
              <w:left w:type="dxa" w:w="100"/>
              <w:bottom w:type="dxa" w:w="70"/>
              <w:right w:type="dxa" w:w="100"/>
            </w:tcMar>
            <w:vAlign w:val="center"/>
          </w:tcPr>
          <w:p>
            <w:pPr>
              <w:jc w:val="left"/>
            </w:pPr>
            <w:r>
              <w:rPr>
                <w:b w:val="false"/>
                <w:bCs w:val="false"/>
                <w:color w:val="000000"/>
                <w:sz w:val="16"/>
                <w:szCs w:val="16"/>
              </w:rPr>
              <w:t xml:space="preserve">2</w:t>
            </w:r>
          </w:p>
        </w:tc>
        <w:tc>
          <w:tcPr>
            <w:tcW w:type="dxa" w:w="420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El ambiente de production aún no está desplegado en Google Cloud Platform.</w:t>
            </w:r>
          </w:p>
        </w:tc>
        <w:tc>
          <w:tcPr>
            <w:tcW w:type="dxa" w:w="398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Definido en archivos y con las guardas puestas, pero sin ejecución real. Es requisito de la demostración y está en el sprint en curso.</w:t>
            </w:r>
          </w:p>
        </w:tc>
      </w:tr>
      <w:tr>
        <w:trPr>
          <w:cantSplit/>
        </w:trPr>
        <w:tc>
          <w:tcPr>
            <w:tcW w:type="dxa" w:w="900"/>
            <w:tcMar>
              <w:top w:type="dxa" w:w="70"/>
              <w:left w:type="dxa" w:w="100"/>
              <w:bottom w:type="dxa" w:w="70"/>
              <w:right w:type="dxa" w:w="100"/>
            </w:tcMar>
            <w:vAlign w:val="center"/>
          </w:tcPr>
          <w:p>
            <w:pPr>
              <w:jc w:val="left"/>
            </w:pPr>
            <w:r>
              <w:rPr>
                <w:b w:val="false"/>
                <w:bCs w:val="false"/>
                <w:color w:val="000000"/>
                <w:sz w:val="16"/>
                <w:szCs w:val="16"/>
              </w:rPr>
              <w:t xml:space="preserve">3</w:t>
            </w:r>
          </w:p>
        </w:tc>
        <w:tc>
          <w:tcPr>
            <w:tcW w:type="dxa" w:w="4200"/>
            <w:tcMar>
              <w:top w:type="dxa" w:w="70"/>
              <w:left w:type="dxa" w:w="100"/>
              <w:bottom w:type="dxa" w:w="70"/>
              <w:right w:type="dxa" w:w="100"/>
            </w:tcMar>
            <w:vAlign w:val="center"/>
          </w:tcPr>
          <w:p>
            <w:pPr>
              <w:jc w:val="center"/>
            </w:pPr>
            <w:r>
              <w:rPr>
                <w:b w:val="false"/>
                <w:bCs w:val="false"/>
                <w:color w:val="000000"/>
                <w:sz w:val="16"/>
                <w:szCs w:val="16"/>
              </w:rPr>
              <w:t xml:space="preserve">La carpeta apps/web está vacía.</w:t>
            </w:r>
          </w:p>
        </w:tc>
        <w:tc>
          <w:tcPr>
            <w:tcW w:type="dxa" w:w="3980"/>
            <w:tcMar>
              <w:top w:type="dxa" w:w="70"/>
              <w:left w:type="dxa" w:w="100"/>
              <w:bottom w:type="dxa" w:w="70"/>
              <w:right w:type="dxa" w:w="100"/>
            </w:tcMar>
            <w:vAlign w:val="center"/>
          </w:tcPr>
          <w:p>
            <w:pPr>
              <w:jc w:val="center"/>
            </w:pPr>
            <w:r>
              <w:rPr>
                <w:b w:val="false"/>
                <w:bCs w:val="false"/>
                <w:color w:val="000000"/>
                <w:sz w:val="16"/>
                <w:szCs w:val="16"/>
              </w:rPr>
              <w:t xml:space="preserve">Los módulos M01 a M12 se construyen en la siguiente etapa, sobre la base ya verificada.</w:t>
            </w:r>
          </w:p>
        </w:tc>
      </w:tr>
      <w:tr>
        <w:trPr>
          <w:cantSplit/>
        </w:trPr>
        <w:tc>
          <w:tcPr>
            <w:tcW w:type="dxa" w:w="900"/>
            <w:shd w:fill="F2F2F2" w:val="clear"/>
            <w:tcMar>
              <w:top w:type="dxa" w:w="70"/>
              <w:left w:type="dxa" w:w="100"/>
              <w:bottom w:type="dxa" w:w="70"/>
              <w:right w:type="dxa" w:w="100"/>
            </w:tcMar>
            <w:vAlign w:val="center"/>
          </w:tcPr>
          <w:p>
            <w:pPr>
              <w:jc w:val="left"/>
            </w:pPr>
            <w:r>
              <w:rPr>
                <w:b w:val="false"/>
                <w:bCs w:val="false"/>
                <w:color w:val="000000"/>
                <w:sz w:val="16"/>
                <w:szCs w:val="16"/>
              </w:rPr>
              <w:t xml:space="preserve">4</w:t>
            </w:r>
          </w:p>
        </w:tc>
        <w:tc>
          <w:tcPr>
            <w:tcW w:type="dxa" w:w="420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La tubería de integración continua no se ha ejecutado en GitHub Actions.</w:t>
            </w:r>
          </w:p>
        </w:tc>
        <w:tc>
          <w:tcPr>
            <w:tcW w:type="dxa" w:w="398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Sus comprobaciones se validaron localmente una por una; falta la primera corrida en el servicio.</w:t>
            </w:r>
          </w:p>
        </w:tc>
      </w:tr>
      <w:tr>
        <w:trPr>
          <w:cantSplit/>
        </w:trPr>
        <w:tc>
          <w:tcPr>
            <w:tcW w:type="dxa" w:w="900"/>
            <w:tcMar>
              <w:top w:type="dxa" w:w="70"/>
              <w:left w:type="dxa" w:w="100"/>
              <w:bottom w:type="dxa" w:w="70"/>
              <w:right w:type="dxa" w:w="100"/>
            </w:tcMar>
            <w:vAlign w:val="center"/>
          </w:tcPr>
          <w:p>
            <w:pPr>
              <w:jc w:val="left"/>
            </w:pPr>
            <w:r>
              <w:rPr>
                <w:b w:val="false"/>
                <w:bCs w:val="false"/>
                <w:color w:val="000000"/>
                <w:sz w:val="16"/>
                <w:szCs w:val="16"/>
              </w:rPr>
              <w:t xml:space="preserve">5</w:t>
            </w:r>
          </w:p>
        </w:tc>
        <w:tc>
          <w:tcPr>
            <w:tcW w:type="dxa" w:w="4200"/>
            <w:tcMar>
              <w:top w:type="dxa" w:w="70"/>
              <w:left w:type="dxa" w:w="100"/>
              <w:bottom w:type="dxa" w:w="70"/>
              <w:right w:type="dxa" w:w="100"/>
            </w:tcMar>
            <w:vAlign w:val="center"/>
          </w:tcPr>
          <w:p>
            <w:pPr>
              <w:jc w:val="center"/>
            </w:pPr>
            <w:r>
              <w:rPr>
                <w:b w:val="false"/>
                <w:bCs w:val="false"/>
                <w:color w:val="000000"/>
                <w:sz w:val="16"/>
                <w:szCs w:val="16"/>
              </w:rPr>
              <w:t xml:space="preserve">No hay prueba de carga sobre los contenedores.</w:t>
            </w:r>
          </w:p>
        </w:tc>
        <w:tc>
          <w:tcPr>
            <w:tcW w:type="dxa" w:w="3980"/>
            <w:tcMar>
              <w:top w:type="dxa" w:w="70"/>
              <w:left w:type="dxa" w:w="100"/>
              <w:bottom w:type="dxa" w:w="70"/>
              <w:right w:type="dxa" w:w="100"/>
            </w:tcMar>
            <w:vAlign w:val="center"/>
          </w:tcPr>
          <w:p>
            <w:pPr>
              <w:jc w:val="center"/>
            </w:pPr>
            <w:r>
              <w:rPr>
                <w:b w:val="false"/>
                <w:bCs w:val="false"/>
                <w:color w:val="000000"/>
                <w:sz w:val="16"/>
                <w:szCs w:val="16"/>
              </w:rPr>
              <w:t xml:space="preserve">Las mediciones de rendimiento se hicieron sobre procesos nativos. Los contenedores añaden una capa de red que aún no se ha medido.</w:t>
            </w:r>
          </w:p>
        </w:tc>
      </w:tr>
    </w:tbl>
    <w:p>
      <w:pPr>
        <w:pStyle w:val="Heading1"/>
        <w:spacing w:after="160" w:before="320"/>
      </w:pPr>
      <w:r>
        <w:t xml:space="preserve">10. Conclusiones</w:t>
      </w:r>
    </w:p>
    <w:p>
      <w:pPr>
        <w:pStyle w:val="ListParagraph"/>
        <w:numPr>
          <w:ilvl w:val="0"/>
          <w:numId w:val="1"/>
        </w:numPr>
        <w:spacing w:after="80"/>
      </w:pPr>
      <w:r>
        <w:t xml:space="preserve">El repositorio reúne base de datos, aplicación e infraestructura en un solo árbol versionado, de modo que un cambio de esquema y el código que lo necesita no pueden desincronizarse.</w:t>
      </w:r>
    </w:p>
    <w:p>
      <w:pPr>
        <w:pStyle w:val="ListParagraph"/>
        <w:numPr>
          <w:ilvl w:val="0"/>
          <w:numId w:val="1"/>
        </w:numPr>
        <w:spacing w:after="80"/>
      </w:pPr>
      <w:r>
        <w:t xml:space="preserve">Los tres ambientes exigidos quedan definidos con una sola imagen de contenedor y tres conjuntos de variables. La paridad entre ambientes es una consecuencia del artefacto compartido, no una promesa de proceso.</w:t>
      </w:r>
    </w:p>
    <w:p>
      <w:pPr>
        <w:pStyle w:val="ListParagraph"/>
        <w:numPr>
          <w:ilvl w:val="0"/>
          <w:numId w:val="1"/>
        </w:numPr>
        <w:spacing w:after="80"/>
      </w:pPr>
      <w:r>
        <w:t xml:space="preserve">La aplicación de menor privilegio reveló un hueco real de diseño: la función de agregado corría con los privilegios de quien la llamaba. Se corrigió con un rol motor y funciones SECURITY DEFINER con search_path fijo.</w:t>
      </w:r>
    </w:p>
    <w:p>
      <w:pPr>
        <w:pStyle w:val="ListParagraph"/>
        <w:numPr>
          <w:ilvl w:val="0"/>
          <w:numId w:val="1"/>
        </w:numPr>
        <w:spacing w:after="80"/>
      </w:pPr>
      <w:r>
        <w:t xml:space="preserve">Como resultado, la única ruta desde la aplicación hacia los datos individuales pasa por el mecanismo de privacidad diferencial, y esa restricción la hace cumplir el motor de base de datos, no una convención de programación.</w:t>
      </w:r>
    </w:p>
    <w:p>
      <w:pPr>
        <w:pStyle w:val="ListParagraph"/>
        <w:numPr>
          <w:ilvl w:val="0"/>
          <w:numId w:val="1"/>
        </w:numPr>
        <w:spacing w:after="80"/>
      </w:pPr>
      <w:r>
        <w:t xml:space="preserve">Tres guardas de operación impiden los errores más caros: desplegar sin versión, exponer la base de datos y relajar un permiso sin que nadie se entere.</w:t>
      </w:r>
    </w:p>
    <w:p>
      <w:pPr>
        <w:pStyle w:val="ListParagraph"/>
        <w:numPr>
          <w:ilvl w:val="0"/>
          <w:numId w:val="1"/>
        </w:numPr>
        <w:spacing w:after="80"/>
      </w:pPr>
      <w:r>
        <w:t xml:space="preserve">Las seis garantías de gobernanza se cumplen verificadas desde el rol restringido de la aplicación, y la prueba de humo del ambiente pasa cinco de cinco.</w:t>
      </w:r>
    </w:p>
    <w:p>
      <w:pPr>
        <w:pStyle w:val="ListParagraph"/>
        <w:numPr>
          <w:ilvl w:val="0"/>
          <w:numId w:val="1"/>
        </w:numPr>
        <w:spacing w:after="80"/>
      </w:pPr>
      <w:r>
        <w:t xml:space="preserve">Lo que falta está declarado en la sección 9, con su tratamiento y su sprint.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Equipo 03 — Monorepo y ambientes de ejecución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b/>
      <w:bCs/>
      <w:color w:val="1F3864"/>
      <w:sz w:val="27"/>
      <w:szCs w:val="27"/>
    </w:rPr>
  </w:style>
  <w:style w:type="paragraph" w:styleId="Heading2">
    <w:name w:val="Heading 2"/>
    <w:basedOn w:val="Normal"/>
    <w:next w:val="Normal"/>
    <w:qFormat/>
    <w:pPr>
      <w:spacing w:after="120" w:before="240"/>
      <w:outlineLvl w:val="1"/>
    </w:pPr>
    <w:rPr>
      <w:b/>
      <w:bCs/>
      <w:color w:val="1F3864"/>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24d9ee126f2bf6f99ddbf3a7b84ae9631635f674.png"/><Relationship Id="rId10" Type="http://schemas.openxmlformats.org/officeDocument/2006/relationships/image" Target="media/cefc380363dbb522f591df9ac290584808bd7abc.png"/><Relationship Id="rId11" Type="http://schemas.openxmlformats.org/officeDocument/2006/relationships/image" Target="media/f2409169e50f5208a3146e361531888ef600de49.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Monorepo y ambientes de ejecución</dc:title>
  <dc:creator>Equipo 03 — UDEM</dc:creator>
  <cp:lastModifiedBy>Un-named</cp:lastModifiedBy>
  <cp:revision>1</cp:revision>
  <dcterms:created xsi:type="dcterms:W3CDTF">2026-09-30T03:49:45.985Z</dcterms:created>
  <dcterms:modified xsi:type="dcterms:W3CDTF">2026-09-30T03:49:45.986Z</dcterms:modified>
</cp:coreProperties>
</file>

<file path=docProps/custom.xml><?xml version="1.0" encoding="utf-8"?>
<Properties xmlns="http://schemas.openxmlformats.org/officeDocument/2006/custom-properties" xmlns:vt="http://schemas.openxmlformats.org/officeDocument/2006/docPropsVTypes"/>
</file>