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highlightCs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Performance, Escalabilidad y Confiabilidad</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60" w:before="320"/>
      </w:pPr>
      <w:r>
        <w:t xml:space="preserve">Contenido</w:t>
      </w:r>
    </w:p>
    <w:p>
      <w:pPr>
        <w:spacing w:after="160"/>
        <w:jc w:val="both"/>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 y alcance</w:t>
      </w:r>
    </w:p>
    <w:p>
      <w:pPr>
        <w:spacing w:after="160"/>
        <w:jc w:val="both"/>
      </w:pPr>
      <w:r>
        <w:t xml:space="preserve">Este documento establece los objetivos de rendimiento, escalabilidad y confiabilidad de la Plataforma de Bienestar Laboral, y los contrasta con mediciones reales tomadas sobre la base de datos del sistema cargada al tamaño de la organización del caso de estudio.</w:t>
      </w:r>
    </w:p>
    <w:p>
      <w:pPr>
        <w:spacing w:after="160"/>
        <w:jc w:val="both"/>
      </w:pPr>
      <w:r>
        <w:rPr>
          <w:b/>
          <w:bCs/>
          <w:i w:val="false"/>
          <w:iCs w:val="false"/>
        </w:rPr>
        <w:t xml:space="preserve">Ninguna cifra de este documento es una estimación teórica. </w:t>
      </w:r>
      <w:r>
        <w:rPr>
          <w:b w:val="false"/>
          <w:bCs w:val="false"/>
          <w:i w:val="false"/>
          <w:iCs w:val="false"/>
        </w:rPr>
        <w:t xml:space="preserve">Todas provienen de ejecutar el esquema en PostgreSQL 16 con 1,161 colaboradores y cuatro campañas, y de medir con la instrumentación propia del motor. El apartado 2 describe cómo se obtuvieron para que puedan reproducirse.</w:t>
      </w:r>
    </w:p>
    <w:p>
      <w:pPr>
        <w:spacing w:after="160"/>
        <w:jc w:val="both"/>
      </w:pPr>
      <w:r>
        <w:t xml:space="preserve">El alcance corresponde al primer parcial: el sistema monolítico con PostgreSQL. Los microservicios, MongoDB y el despliegue en la nube se analizan aquí como trabajo posterior, no como implementación.</w:t>
      </w:r>
    </w:p>
    <w:p>
      <w:pPr>
        <w:pStyle w:val="Heading1"/>
        <w:spacing w:after="160" w:before="320"/>
      </w:pPr>
      <w:r>
        <w:t xml:space="preserve">2. Método de medición</w:t>
      </w:r>
    </w:p>
    <w:p>
      <w:pPr>
        <w:spacing w:after="160"/>
        <w:jc w:val="both"/>
      </w:pPr>
      <w:r>
        <w:t xml:space="preserve">Las mediciones se realizaron sobre una instancia local de PostgreSQL 16 con el esquema completo del proyecto y datos sintéticos generados al tamaño de la plantilla declarada en el caso de estudio.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56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Aspecto</w:t>
            </w:r>
          </w:p>
        </w:tc>
        <w:tc>
          <w:tcPr>
            <w:tcW w:type="dxa" w:w="5680"/>
            <w:shd w:fill="1F3864" w:val="clear"/>
            <w:tcMar>
              <w:top w:type="dxa" w:w="70"/>
              <w:left w:type="dxa" w:w="100"/>
              <w:bottom w:type="dxa" w:w="70"/>
              <w:right w:type="dxa" w:w="100"/>
            </w:tcMar>
            <w:vAlign w:val="center"/>
          </w:tcPr>
          <w:p>
            <w:pPr>
              <w:jc w:val="center"/>
            </w:pPr>
            <w:r>
              <w:rPr>
                <w:b/>
                <w:bCs/>
                <w:color w:val="FFFFFF"/>
                <w:sz w:val="17"/>
                <w:szCs w:val="17"/>
              </w:rPr>
              <w:t xml:space="preserve">Valor</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Motor</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PostgreSQL 16.13 sobre Linux x86-64</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Esquema</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bienestar_nexum_v2.sql (36 tablas, 9 vistas, 7 funciones)</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Colaboradores cargados</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1,161 distribuidos en 16 unidades organizacionales</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Consentimientos vigentes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947 (81.6 %, tasa de participación objetivo del proyecto)</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Campañas</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4 consecutivas</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Respuestas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3,844 encabezados y 19,220 reactivos respondidos</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Instrumento de medición</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\timing de psql y EXPLAIN (ANALYZE, BUFFERS)</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Repeticiones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 corridas por consulta; se reporta el valor estable tras el calentamiento de caché</w:t>
            </w:r>
          </w:p>
        </w:tc>
      </w:tr>
    </w:tbl>
    <w:p>
      <w:pPr>
        <w:spacing w:after="160"/>
        <w:jc w:val="both"/>
      </w:pPr>
      <w:r>
        <w:t xml:space="preserve">La concurrencia se probó lanzando procesos psql simultáneos contra la misma combinación de campaña y unidad, que es el punto de contención del sistema.</w:t>
      </w:r>
    </w:p>
    <w:p>
      <w:pPr>
        <w:spacing w:after="160"/>
        <w:jc w:val="both"/>
      </w:pPr>
      <w:r>
        <w:rPr>
          <w:b/>
          <w:bCs/>
          <w:i w:val="false"/>
          <w:iCs w:val="false"/>
        </w:rPr>
        <w:t xml:space="preserve">Limitación declarada: </w:t>
      </w:r>
      <w:r>
        <w:rPr>
          <w:b w:val="false"/>
          <w:bCs w:val="false"/>
          <w:i w:val="false"/>
          <w:iCs w:val="false"/>
        </w:rPr>
        <w:t xml:space="preserve">la medición se hizo en una sola máquina, sin latencia de red ni capa de aplicación. Los tiempos reportados corresponden al trabajo de base de datos, que es el componente dominante del camino crítico, pero no al tiempo de respuesta extremo a extremo que percibirá el usuario.</w:t>
      </w:r>
    </w:p>
    <w:p>
      <w:pPr>
        <w:pStyle w:val="Heading1"/>
        <w:spacing w:after="160" w:before="320"/>
      </w:pPr>
      <w:r>
        <w:t xml:space="preserve">3. Perfil de carga esperado</w:t>
      </w:r>
    </w:p>
    <w:p>
      <w:pPr>
        <w:spacing w:after="160"/>
        <w:jc w:val="both"/>
      </w:pPr>
      <w:r>
        <w:t xml:space="preserve">El perfil se deriva del caso de estudio y no de supuestos genéricos. Nexum Servicios Corporativos tiene aproximadamente 1,150 colaboradores en tres turnos continuos, y el proyecto fija una meta de participación del 75 %.</w:t>
      </w:r>
    </w:p>
    <w:p>
      <w:pPr>
        <w:pStyle w:val="Heading2"/>
        <w:spacing w:after="120" w:before="240"/>
      </w:pPr>
      <w:r>
        <w:t xml:space="preserve">3.1 Carga de escritura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Concepto</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Cálculo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Respuestas por campaña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1,150 × 82 % de participación</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943 respuestas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Ventana de aplicación</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 días hábiles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Concentración desfavorable</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40 % responde en una ventana de 2 h (cambio de turno)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377 respuestas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Tasa media en ese pico</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377 ÷ 7,200 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0.05 respuestas/s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Ráfaga asumida (factor 3)</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0.05 × 3</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0.16 respuestas/s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Escrituras por respuesta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 encabezado + 5 reactivos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 inserciones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Escrituras por segundo en pico</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0.16 × 6</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 1 inserción/s</w:t>
            </w:r>
          </w:p>
        </w:tc>
      </w:tr>
    </w:tbl>
    <w:p>
      <w:pPr>
        <w:spacing w:after="160"/>
        <w:jc w:val="both"/>
      </w:pPr>
      <w:r>
        <w:rPr>
          <w:b/>
          <w:bCs/>
          <w:i w:val="false"/>
          <w:iCs w:val="false"/>
        </w:rPr>
        <w:t xml:space="preserve">Conclusión: </w:t>
      </w:r>
      <w:r>
        <w:rPr>
          <w:b w:val="false"/>
          <w:bCs w:val="false"/>
          <w:i w:val="false"/>
          <w:iCs w:val="false"/>
        </w:rPr>
        <w:t xml:space="preserve">la carga de escritura del proceso principal es de aproximadamente una inserción por segundo en el peor momento. No es el factor limitante del sistema.</w:t>
      </w:r>
    </w:p>
    <w:p>
      <w:pPr>
        <w:pStyle w:val="Heading2"/>
        <w:spacing w:after="120" w:before="240"/>
      </w:pPr>
      <w:r>
        <w:t xml:space="preserve">3.2 Carga de lectura y el efecto del presupuesto de privacidad</w:t>
      </w:r>
    </w:p>
    <w:p>
      <w:pPr>
        <w:spacing w:after="160"/>
        <w:jc w:val="both"/>
      </w:pPr>
      <w:r>
        <w:t xml:space="preserve">El componente costoso no es responder la encuesta sino consultar agregados protegidos, porque cada consulta recorre las respuestas del grupo y ejecuta el mecanismo de privacidad diferencial.</w:t>
      </w:r>
    </w:p>
    <w:p>
      <w:pPr>
        <w:spacing w:after="160"/>
        <w:jc w:val="both"/>
      </w:pPr>
      <w:r>
        <w:t xml:space="preserve">Aquí aparece una propiedad favorable del diseño: el presupuesto de privacidad acota la carga de agregación por construcción. Con un presupuesto de 8 épsilon por campaña y unidad, y un consumo de 1.0 por consulta, ninguna unidad puede generar más de ocho consultas protegidas por campaña.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Concepto</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Cálculo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Unidades organizacionales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Caso de estudio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16</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Consultas máximas por unidad y campaña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Presupuesto 8.0 ÷ épsilon 1.0</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8 consultas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Techo de consultas protegidas por campaña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16 × 8</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128 consultas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Costo medido de la consulta más pesada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Sección 5</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51.6 ms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Trabajo total de agregación por campaña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128 × 51.6 ms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 6.6 s acumulados</w:t>
            </w:r>
          </w:p>
        </w:tc>
      </w:tr>
    </w:tbl>
    <w:p>
      <w:pPr>
        <w:spacing w:after="160"/>
        <w:jc w:val="both"/>
      </w:pPr>
      <w:r>
        <w:rPr>
          <w:b/>
          <w:bCs/>
          <w:i w:val="false"/>
          <w:iCs w:val="false"/>
        </w:rPr>
        <w:t xml:space="preserve">El presupuesto de privacidad funciona además como limitador natural de carga. </w:t>
      </w:r>
      <w:r>
        <w:rPr>
          <w:b w:val="false"/>
          <w:bCs w:val="false"/>
          <w:i w:val="false"/>
          <w:iCs w:val="false"/>
        </w:rPr>
        <w:t xml:space="preserve">Un sistema sin ese control tendría que defenderse de consultas repetidas con límites de peticiones; aquí el límite ya está impuesto por el requisito de privacidad.</w:t>
      </w:r>
    </w:p>
    <w:p>
      <w:pPr>
        <w:pStyle w:val="Heading1"/>
        <w:spacing w:after="160" w:before="320"/>
      </w:pPr>
      <w:r>
        <w:t xml:space="preserve">4. Objetivos de nivel de servicio</w:t>
      </w:r>
    </w:p>
    <w:p>
      <w:pPr>
        <w:spacing w:after="160"/>
        <w:jc w:val="both"/>
      </w:pPr>
      <w:r>
        <w:t xml:space="preserve">Los objetivos se fijan en función del uso real: una persona responde una encuesta de cinco reactivos y un mando consulta un tablero. No se trata de un sistema de alta frecuencia.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Indicador</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Objetivo</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Medido</w:t>
            </w:r>
          </w:p>
        </w:tc>
        <w:tc>
          <w:tcPr>
            <w:tcW w:type="dxa" w:w="1880"/>
            <w:shd w:fill="1F3864" w:val="clear"/>
            <w:tcMar>
              <w:top w:type="dxa" w:w="70"/>
              <w:left w:type="dxa" w:w="100"/>
              <w:bottom w:type="dxa" w:w="70"/>
              <w:right w:type="dxa" w:w="100"/>
            </w:tcMar>
            <w:vAlign w:val="center"/>
          </w:tcPr>
          <w:p>
            <w:pPr>
              <w:jc w:val="center"/>
            </w:pPr>
            <w:r>
              <w:rPr>
                <w:b/>
                <w:bCs/>
                <w:color w:val="FFFFFF"/>
                <w:sz w:val="17"/>
                <w:szCs w:val="17"/>
              </w:rPr>
              <w:t xml:space="preserve">Cumple</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Latencia de operación de negocio (p95)</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&lt; 500 ms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&lt; 60 ms</w:t>
            </w:r>
          </w:p>
        </w:tc>
        <w:tc>
          <w:tcPr>
            <w:tcW w:type="dxa" w:w="1880"/>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Latencia de agregado protegido (p95)</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&lt; 300 ms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1880"/>
            <w:shd w:fill="F2F2F2" w:val="clear"/>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Latencia de consulta de tendencia</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&lt; 300 ms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1.1 ms</w:t>
            </w:r>
          </w:p>
        </w:tc>
        <w:tc>
          <w:tcPr>
            <w:tcW w:type="dxa" w:w="1880"/>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Throughput de autoreporte</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 50 resp/min</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 1,000 resp/min</w:t>
            </w:r>
          </w:p>
        </w:tc>
        <w:tc>
          <w:tcPr>
            <w:tcW w:type="dxa" w:w="1880"/>
            <w:shd w:fill="F2F2F2" w:val="clear"/>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Escritura de bitácora</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 100 eventos/s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36,600 eventos/s</w:t>
            </w:r>
          </w:p>
        </w:tc>
        <w:tc>
          <w:tcPr>
            <w:tcW w:type="dxa" w:w="1880"/>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Integridad del presupuesto bajo concurrencia</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 sobregiros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 sobregiros</w:t>
            </w:r>
          </w:p>
        </w:tc>
        <w:tc>
          <w:tcPr>
            <w:tcW w:type="dxa" w:w="1880"/>
            <w:shd w:fill="F2F2F2" w:val="clear"/>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Disponibilidad en horario laboral</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99 %</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No medida</w:t>
            </w:r>
          </w:p>
        </w:tc>
        <w:tc>
          <w:tcPr>
            <w:tcW w:type="dxa" w:w="1880"/>
            <w:tcMar>
              <w:top w:type="dxa" w:w="70"/>
              <w:left w:type="dxa" w:w="100"/>
              <w:bottom w:type="dxa" w:w="70"/>
              <w:right w:type="dxa" w:w="100"/>
            </w:tcMar>
            <w:vAlign w:val="center"/>
          </w:tcPr>
          <w:p>
            <w:pPr>
              <w:jc w:val="center"/>
            </w:pPr>
            <w:r>
              <w:rPr>
                <w:b/>
                <w:bCs/>
                <w:color w:val="8A5A00"/>
                <w:sz w:val="16"/>
                <w:szCs w:val="16"/>
              </w:rPr>
              <w:t xml:space="preserve">Pendiente</w:t>
            </w:r>
          </w:p>
        </w:tc>
      </w:tr>
    </w:tbl>
    <w:p>
      <w:pPr>
        <w:spacing w:after="160"/>
        <w:jc w:val="both"/>
      </w:pPr>
      <w:r>
        <w:rPr>
          <w:i/>
          <w:iCs/>
          <w:color w:val="808080"/>
          <w:sz w:val="19"/>
          <w:szCs w:val="19"/>
        </w:rPr>
        <w:t xml:space="preserve">La disponibilidad no se reporta porque no existe todavía un despliegue continuo que permita observarla. Se medirá cuando el sistema opere en los ambientes de staging y producción.</w:t>
      </w:r>
    </w:p>
    <w:p>
      <w:pPr>
        <w:pStyle w:val="Heading1"/>
        <w:spacing w:after="160" w:before="320"/>
      </w:pPr>
      <w:r>
        <w:t xml:space="preserve">5. Rendimiento medido</w:t>
      </w:r>
    </w:p>
    <w:p>
      <w:pPr>
        <w:pStyle w:val="Heading2"/>
        <w:spacing w:after="120" w:before="240"/>
      </w:pPr>
      <w:r>
        <w:t xml:space="preserve">5.1 Camino crítico: la agregación protegida</w:t>
      </w:r>
    </w:p>
    <w:p>
      <w:pPr>
        <w:spacing w:after="160"/>
        <w:jc w:val="both"/>
      </w:pPr>
      <w:r>
        <w:t xml:space="preserve">La función que calcula un agregado protegido concentra el trabajo del sistema: verifica el umbral de grupo, aplica recorte al rango del instrumento, calcula la media, deriva la sensibilidad, añade ruido de Laplace y consume presupuesto. Se midió sobre unidades de distinto tamaño.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Unidad</w:t>
            </w:r>
          </w:p>
        </w:tc>
        <w:tc>
          <w:tcPr>
            <w:tcW w:type="dxa" w:w="1700"/>
            <w:shd w:fill="1F3864" w:val="clear"/>
            <w:tcMar>
              <w:top w:type="dxa" w:w="70"/>
              <w:left w:type="dxa" w:w="100"/>
              <w:bottom w:type="dxa" w:w="70"/>
              <w:right w:type="dxa" w:w="100"/>
            </w:tcMar>
            <w:vAlign w:val="center"/>
          </w:tcPr>
          <w:p>
            <w:pPr>
              <w:jc w:val="center"/>
            </w:pPr>
            <w:r>
              <w:rPr>
                <w:b/>
                <w:bCs/>
                <w:color w:val="FFFFFF"/>
                <w:sz w:val="17"/>
                <w:szCs w:val="17"/>
              </w:rPr>
              <w:t xml:space="preserve">Respuestas</w:t>
            </w:r>
          </w:p>
        </w:tc>
        <w:tc>
          <w:tcPr>
            <w:tcW w:type="dxa" w:w="1700"/>
            <w:shd w:fill="1F3864" w:val="clear"/>
            <w:tcMar>
              <w:top w:type="dxa" w:w="70"/>
              <w:left w:type="dxa" w:w="100"/>
              <w:bottom w:type="dxa" w:w="70"/>
              <w:right w:type="dxa" w:w="100"/>
            </w:tcMar>
            <w:vAlign w:val="center"/>
          </w:tcPr>
          <w:p>
            <w:pPr>
              <w:jc w:val="center"/>
            </w:pPr>
            <w:r>
              <w:rPr>
                <w:b/>
                <w:bCs/>
                <w:color w:val="FFFFFF"/>
                <w:sz w:val="17"/>
                <w:szCs w:val="17"/>
              </w:rPr>
              <w:t xml:space="preserve">Latencia</w:t>
            </w:r>
          </w:p>
        </w:tc>
        <w:tc>
          <w:tcPr>
            <w:tcW w:type="dxa" w:w="2680"/>
            <w:shd w:fill="1F3864" w:val="clear"/>
            <w:tcMar>
              <w:top w:type="dxa" w:w="70"/>
              <w:left w:type="dxa" w:w="100"/>
              <w:bottom w:type="dxa" w:w="70"/>
              <w:right w:type="dxa" w:w="100"/>
            </w:tcMar>
            <w:vAlign w:val="center"/>
          </w:tcPr>
          <w:p>
            <w:pPr>
              <w:jc w:val="center"/>
            </w:pPr>
            <w:r>
              <w:rPr>
                <w:b/>
                <w:bCs/>
                <w:color w:val="FFFFFF"/>
                <w:sz w:val="17"/>
                <w:szCs w:val="17"/>
              </w:rPr>
              <w:t xml:space="preserve">Observación</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Call Center Turno 1</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171</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Unidad más grande del caso</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Soporte Técnico N2</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75</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11.3 ms</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Unidad mediana</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Finanzas</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19</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9.2 ms</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Unidad pequeña que aún supera el umbral</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Logística Turno A</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&lt; 5 ms</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Suprimida por umbral; no ejecuta el mecanismo</w:t>
            </w:r>
          </w:p>
        </w:tc>
      </w:tr>
    </w:tbl>
    <w:p>
      <w:pPr>
        <w:spacing w:after="160"/>
        <w:jc w:val="both"/>
      </w:pPr>
      <w:r>
        <w:rPr>
          <w:b/>
          <w:bCs/>
          <w:i w:val="false"/>
          <w:iCs w:val="false"/>
        </w:rPr>
        <w:t xml:space="preserve">Observación relevante: </w:t>
      </w:r>
      <w:r>
        <w:rPr>
          <w:b w:val="false"/>
          <w:bCs w:val="false"/>
          <w:i w:val="false"/>
          <w:iCs w:val="false"/>
        </w:rPr>
        <w:t xml:space="preserve">una consulta suprimida por el umbral cuesta menos que una publicada, porque el sistema se detiene antes de calcular. La protección de privacidad es, en este caso, también un ahorro de cómputo.</w:t>
      </w:r>
    </w:p>
    <w:p>
      <w:pPr>
        <w:pStyle w:val="Heading2"/>
        <w:spacing w:after="120" w:before="240"/>
      </w:pPr>
      <w:r>
        <w:t xml:space="preserve">5.2 Escritura de bitácora</w:t>
      </w:r>
    </w:p>
    <w:p>
      <w:pPr>
        <w:spacing w:after="160"/>
        <w:jc w:val="both"/>
      </w:pPr>
      <w:r>
        <w:t xml:space="preserve">La bitácora es la tabla de mayor frecuencia de escritura, ya que cada acceso sensible genera un registro. Se insertaron 2,000 eventos en una sola operación.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80"/>
      </w:tblGrid>
      <w:tr>
        <w:trPr>
          <w:tblHeader/>
        </w:trPr>
        <w:tc>
          <w:tcPr>
            <w:tcW w:type="dxa" w:w="4600"/>
            <w:shd w:fill="1F3864" w:val="clear"/>
            <w:tcMar>
              <w:top w:type="dxa" w:w="70"/>
              <w:left w:type="dxa" w:w="100"/>
              <w:bottom w:type="dxa" w:w="70"/>
              <w:right w:type="dxa" w:w="100"/>
            </w:tcMar>
            <w:vAlign w:val="center"/>
          </w:tcPr>
          <w:p>
            <w:pPr>
              <w:jc w:val="center"/>
            </w:pPr>
            <w:r>
              <w:rPr>
                <w:b/>
                <w:bCs/>
                <w:color w:val="FFFFFF"/>
                <w:sz w:val="17"/>
                <w:szCs w:val="17"/>
              </w:rPr>
              <w:t xml:space="preserve">Prueba</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c>
          <w:tcPr>
            <w:tcW w:type="dxa" w:w="2280"/>
            <w:shd w:fill="1F3864" w:val="clear"/>
            <w:tcMar>
              <w:top w:type="dxa" w:w="70"/>
              <w:left w:type="dxa" w:w="100"/>
              <w:bottom w:type="dxa" w:w="70"/>
              <w:right w:type="dxa" w:w="100"/>
            </w:tcMar>
            <w:vAlign w:val="center"/>
          </w:tcPr>
          <w:p>
            <w:pPr>
              <w:jc w:val="center"/>
            </w:pPr>
            <w:r>
              <w:rPr>
                <w:b/>
                <w:bCs/>
                <w:color w:val="FFFFFF"/>
                <w:sz w:val="17"/>
                <w:szCs w:val="17"/>
              </w:rPr>
              <w:t xml:space="preserve">Equivalencia</w:t>
            </w:r>
          </w:p>
        </w:tc>
      </w:tr>
      <w:tr>
        <w:tc>
          <w:tcPr>
            <w:tcW w:type="dxa" w:w="4600"/>
            <w:tcMar>
              <w:top w:type="dxa" w:w="70"/>
              <w:left w:type="dxa" w:w="100"/>
              <w:bottom w:type="dxa" w:w="70"/>
              <w:right w:type="dxa" w:w="100"/>
            </w:tcMar>
            <w:vAlign w:val="center"/>
          </w:tcPr>
          <w:p>
            <w:pPr>
              <w:jc w:val="left"/>
            </w:pPr>
            <w:r>
              <w:rPr>
                <w:b w:val="false"/>
                <w:bCs w:val="false"/>
                <w:color w:val="000000"/>
                <w:sz w:val="16"/>
                <w:szCs w:val="16"/>
              </w:rPr>
              <w:t xml:space="preserve">2,000 eventos de bitácora</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54.7 ms</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 36,600 eventos por segundo</w:t>
            </w:r>
          </w:p>
        </w:tc>
      </w:tr>
    </w:tbl>
    <w:p>
      <w:pPr>
        <w:spacing w:after="160"/>
        <w:jc w:val="both"/>
      </w:pPr>
      <w:r>
        <w:t xml:space="preserve">La capacidad de escritura de la bitácora excede en tres órdenes de magnitud la carga esperada. No representa un riesgo de rendimiento en el horizonte del proyecto.</w:t>
      </w:r>
    </w:p>
    <w:p>
      <w:pPr>
        <w:pStyle w:val="Heading1"/>
        <w:spacing w:after="160" w:before="320"/>
      </w:pPr>
      <w:r>
        <w:t xml:space="preserve">6. Análisis del camino crítico y optimización</w:t>
      </w:r>
    </w:p>
    <w:p>
      <w:pPr>
        <w:pStyle w:val="Heading2"/>
        <w:spacing w:after="120" w:before="240"/>
      </w:pPr>
      <w:r>
        <w:t xml:space="preserve">6.1 Cuello de botella identificado</w:t>
      </w:r>
    </w:p>
    <w:p>
      <w:pPr>
        <w:spacing w:after="160"/>
        <w:jc w:val="both"/>
      </w:pPr>
      <w:r>
        <w:t xml:space="preserve">El plan de ejecución de la consulta que cuenta respuestas elegibles reveló que la vista de consentimiento vigente resuelve el estado de los 1,161 colaboradores de la organización en cada consulta, aunque la unidad evaluada tenga solo 171 personas.</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Seq Scan on consentimiento  (rows=1162)</w:t>
      </w:r>
      <w:r>
        <w:br/>
      </w:r>
      <w:r>
        <w:rPr>
          <w:rFonts w:ascii="Consolas" w:cs="Consolas" w:eastAsia="Consolas" w:hAnsi="Consolas"/>
          <w:sz w:val="16"/>
          <w:szCs w:val="16"/>
        </w:rPr>
        <w:t xml:space="preserve">  -&gt; Sort  (Sort Key: seudonimo_id, fecha_evento DESC)</w:t>
      </w:r>
      <w:r>
        <w:br/>
      </w:r>
      <w:r>
        <w:rPr>
          <w:rFonts w:ascii="Consolas" w:cs="Consolas" w:eastAsia="Consolas" w:hAnsi="Consolas"/>
          <w:sz w:val="16"/>
          <w:szCs w:val="16"/>
        </w:rPr>
        <w:t xml:space="preserve">  -&gt; Unique  (rows=1161)</w:t>
      </w:r>
      <w:r>
        <w:br/>
      </w:r>
      <w:r>
        <w:rPr>
          <w:rFonts w:ascii="Consolas" w:cs="Consolas" w:eastAsia="Consolas" w:hAnsi="Consolas"/>
          <w:sz w:val="16"/>
          <w:szCs w:val="16"/>
        </w:rPr>
        <w:t xml:space="preserve">     -&gt; Index Scan on respuesta  (loops=947)</w:t>
      </w:r>
      <w:r>
        <w:br/>
      </w:r>
      <w:r>
        <w:rPr>
          <w:rFonts w:ascii="Consolas" w:cs="Consolas" w:eastAsia="Consolas" w:hAnsi="Consolas"/>
          <w:sz w:val="16"/>
          <w:szCs w:val="16"/>
        </w:rPr>
        <w:t xml:space="preserve">        Rows Removed by Filter: 1</w:t>
      </w:r>
      <w:r>
        <w:br/>
      </w:r>
      <w:r>
        <w:rPr>
          <w:rFonts w:ascii="Consolas" w:cs="Consolas" w:eastAsia="Consolas" w:hAnsi="Consolas"/>
          <w:sz w:val="16"/>
          <w:szCs w:val="16"/>
        </w:rPr>
        <w:t xml:space="preserve">Execution Time: 6.477 ms</w:t>
      </w:r>
    </w:p>
    <w:p>
      <w:pPr>
        <w:spacing w:after="160"/>
        <w:jc w:val="both"/>
      </w:pPr>
      <w:r>
        <w:t xml:space="preserve">El patrón DISTINCT ON de la vista obliga a ordenar toda la tabla de consentimientos antes de poder filtrar. Después, el motor itera 947 veces —una por cada persona con consentimiento vigente en toda la organización— descartando en casi todas.</w:t>
      </w:r>
    </w:p>
    <w:p>
      <w:pPr>
        <w:pStyle w:val="Heading2"/>
        <w:spacing w:after="120" w:before="240"/>
      </w:pPr>
      <w:r>
        <w:t xml:space="preserve">6.2 Optimización descartada</w:t>
      </w:r>
    </w:p>
    <w:p>
      <w:pPr>
        <w:spacing w:after="160"/>
        <w:jc w:val="both"/>
      </w:pPr>
      <w:r>
        <w:rPr>
          <w:b/>
          <w:bCs/>
          <w:i w:val="false"/>
          <w:iCs w:val="false"/>
        </w:rPr>
        <w:t xml:space="preserve">Se probó primero la hipótesis evidente y resultó falsa. </w:t>
      </w:r>
      <w:r>
        <w:rPr>
          <w:b w:val="false"/>
          <w:bCs w:val="false"/>
          <w:i w:val="false"/>
          <w:iCs w:val="false"/>
        </w:rPr>
        <w:t xml:space="preserve">Se creó un índice compuesto sobre las columnas de campaña y unidad de la tabla de respuestas, esperando que el motor comenzara por ahí.</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740"/>
        <w:gridCol w:w="2740"/>
      </w:tblGrid>
      <w:tr>
        <w:trPr>
          <w:tblHeader/>
        </w:trPr>
        <w:tc>
          <w:tcPr>
            <w:tcW w:type="dxa" w:w="3600"/>
            <w:shd w:fill="1F3864" w:val="clear"/>
            <w:tcMar>
              <w:top w:type="dxa" w:w="70"/>
              <w:left w:type="dxa" w:w="100"/>
              <w:bottom w:type="dxa" w:w="70"/>
              <w:right w:type="dxa" w:w="100"/>
            </w:tcMar>
            <w:vAlign w:val="center"/>
          </w:tcPr>
          <w:p>
            <w:pPr>
              <w:jc w:val="center"/>
            </w:pPr>
            <w:r>
              <w:rPr>
                <w:b/>
                <w:bCs/>
                <w:color w:val="FFFFFF"/>
                <w:sz w:val="17"/>
                <w:szCs w:val="17"/>
              </w:rPr>
              <w:t xml:space="preserve">Configuración</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Latencia (5 corridas)</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Mejora</w:t>
            </w:r>
          </w:p>
        </w:tc>
      </w:tr>
      <w:tr>
        <w:tc>
          <w:tcPr>
            <w:tcW w:type="dxa" w:w="3600"/>
            <w:tcMar>
              <w:top w:type="dxa" w:w="70"/>
              <w:left w:type="dxa" w:w="100"/>
              <w:bottom w:type="dxa" w:w="70"/>
              <w:right w:type="dxa" w:w="100"/>
            </w:tcMar>
            <w:vAlign w:val="center"/>
          </w:tcPr>
          <w:p>
            <w:pPr>
              <w:jc w:val="left"/>
            </w:pPr>
            <w:r>
              <w:rPr>
                <w:b w:val="false"/>
                <w:bCs w:val="false"/>
                <w:color w:val="000000"/>
                <w:sz w:val="16"/>
                <w:szCs w:val="16"/>
              </w:rPr>
              <w:t xml:space="preserve">Sin índice compuesto</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7.4 ms</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w:t>
            </w:r>
          </w:p>
        </w:tc>
      </w:tr>
      <w:tr>
        <w:tc>
          <w:tcPr>
            <w:tcW w:type="dxa" w:w="3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 índice compuesto</w:t>
            </w:r>
          </w:p>
        </w:tc>
        <w:tc>
          <w:tcPr>
            <w:tcW w:type="dxa" w:w="27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7.5 ms</w:t>
            </w:r>
          </w:p>
        </w:tc>
        <w:tc>
          <w:tcPr>
            <w:tcW w:type="dxa" w:w="2740"/>
            <w:shd w:fill="F2F2F2" w:val="clear"/>
            <w:tcMar>
              <w:top w:type="dxa" w:w="70"/>
              <w:left w:type="dxa" w:w="100"/>
              <w:bottom w:type="dxa" w:w="70"/>
              <w:right w:type="dxa" w:w="100"/>
            </w:tcMar>
            <w:vAlign w:val="center"/>
          </w:tcPr>
          <w:p>
            <w:pPr>
              <w:jc w:val="center"/>
            </w:pPr>
            <w:r>
              <w:rPr>
                <w:b/>
                <w:bCs/>
                <w:color w:val="B00020"/>
                <w:sz w:val="16"/>
                <w:szCs w:val="16"/>
              </w:rPr>
              <w:t xml:space="preserve">Ninguna</w:t>
            </w:r>
          </w:p>
        </w:tc>
      </w:tr>
    </w:tbl>
    <w:p>
      <w:pPr>
        <w:spacing w:after="160"/>
        <w:jc w:val="both"/>
      </w:pPr>
      <w:r>
        <w:t xml:space="preserve">El índice no cambió el plan porque el planificador sigue prefiriendo comenzar por la vista de consentimiento. Se documenta este resultado negativo porque evita que el equipo agregue un índice que solo ocuparía espacio y ralentizaría las escrituras.</w:t>
      </w:r>
    </w:p>
    <w:p>
      <w:pPr>
        <w:pStyle w:val="Heading2"/>
        <w:spacing w:after="120" w:before="240"/>
      </w:pPr>
      <w:r>
        <w:t xml:space="preserve">6.3 Optimización verificada</w:t>
      </w:r>
    </w:p>
    <w:p>
      <w:pPr>
        <w:spacing w:after="160"/>
        <w:jc w:val="both"/>
      </w:pPr>
      <w:r>
        <w:t xml:space="preserve">La mejora efectiva consistió en reescribir la consulta para que parta de las respuestas de la unidad y resuelva el consentimiento únicamente para esos seudónimos, en lugar de resolverlo para toda la organización.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740"/>
        <w:gridCol w:w="2740"/>
      </w:tblGrid>
      <w:tr>
        <w:trPr>
          <w:tblHeader/>
        </w:trPr>
        <w:tc>
          <w:tcPr>
            <w:tcW w:type="dxa" w:w="3600"/>
            <w:shd w:fill="1F3864" w:val="clear"/>
            <w:tcMar>
              <w:top w:type="dxa" w:w="70"/>
              <w:left w:type="dxa" w:w="100"/>
              <w:bottom w:type="dxa" w:w="70"/>
              <w:right w:type="dxa" w:w="100"/>
            </w:tcMar>
            <w:vAlign w:val="center"/>
          </w:tcPr>
          <w:p>
            <w:pPr>
              <w:jc w:val="center"/>
            </w:pPr>
            <w:r>
              <w:rPr>
                <w:b/>
                <w:bCs/>
                <w:color w:val="FFFFFF"/>
                <w:sz w:val="17"/>
                <w:szCs w:val="17"/>
              </w:rPr>
              <w:t xml:space="preserve">Formulación</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Latencia</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r>
      <w:tr>
        <w:tc>
          <w:tcPr>
            <w:tcW w:type="dxa" w:w="3600"/>
            <w:tcMar>
              <w:top w:type="dxa" w:w="70"/>
              <w:left w:type="dxa" w:w="100"/>
              <w:bottom w:type="dxa" w:w="70"/>
              <w:right w:type="dxa" w:w="100"/>
            </w:tcMar>
            <w:vAlign w:val="center"/>
          </w:tcPr>
          <w:p>
            <w:pPr>
              <w:jc w:val="left"/>
            </w:pPr>
            <w:r>
              <w:rPr>
                <w:b w:val="false"/>
                <w:bCs w:val="false"/>
                <w:color w:val="000000"/>
                <w:sz w:val="16"/>
                <w:szCs w:val="16"/>
              </w:rPr>
              <w:t xml:space="preserve">Original (join con la vista)</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7.4 ms</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171 respuestas</w:t>
            </w:r>
          </w:p>
        </w:tc>
      </w:tr>
      <w:tr>
        <w:tc>
          <w:tcPr>
            <w:tcW w:type="dxa" w:w="3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Reescrita (filtra por unidad primero)</w:t>
            </w:r>
          </w:p>
        </w:tc>
        <w:tc>
          <w:tcPr>
            <w:tcW w:type="dxa" w:w="27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3.4 ms</w:t>
            </w:r>
          </w:p>
        </w:tc>
        <w:tc>
          <w:tcPr>
            <w:tcW w:type="dxa" w:w="27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171 respuestas</w:t>
            </w:r>
          </w:p>
        </w:tc>
      </w:tr>
    </w:tbl>
    <w:p>
      <w:pPr>
        <w:spacing w:after="160"/>
        <w:jc w:val="both"/>
      </w:pPr>
      <w:r>
        <w:rPr>
          <w:b/>
          <w:bCs/>
          <w:i w:val="false"/>
          <w:iCs w:val="false"/>
        </w:rPr>
        <w:t xml:space="preserve">Ambas formulaciones devuelven el mismo valor. </w:t>
      </w:r>
      <w:r>
        <w:rPr>
          <w:b w:val="false"/>
          <w:bCs w:val="false"/>
          <w:i w:val="false"/>
          <w:iCs w:val="false"/>
        </w:rPr>
        <w:t xml:space="preserve">La reescritura reduce la latencia a menos de la mitad y su ventaja crece con el tamaño de la organización, porque elimina el recorrido proporcional al total de colaboradores. Se incorpora como trabajo del siguiente sprint.</w:t>
      </w:r>
    </w:p>
    <w:p>
      <w:pPr>
        <w:pStyle w:val="Heading1"/>
        <w:spacing w:after="160" w:before="320"/>
      </w:pPr>
      <w:r>
        <w:t xml:space="preserve">7. Capacidad y proyección de crecimiento</w:t>
      </w:r>
    </w:p>
    <w:p>
      <w:pPr>
        <w:spacing w:after="160"/>
        <w:jc w:val="both"/>
      </w:pPr>
      <w:r>
        <w:t xml:space="preserve">El almacenamiento se midió directamente sobre la base cargada.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Tabla</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Filas</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Tamaño</w:t>
            </w:r>
          </w:p>
        </w:tc>
        <w:tc>
          <w:tcPr>
            <w:tcW w:type="dxa" w:w="1880"/>
            <w:shd w:fill="1F3864" w:val="clear"/>
            <w:tcMar>
              <w:top w:type="dxa" w:w="70"/>
              <w:left w:type="dxa" w:w="100"/>
              <w:bottom w:type="dxa" w:w="70"/>
              <w:right w:type="dxa" w:w="100"/>
            </w:tcMar>
            <w:vAlign w:val="center"/>
          </w:tcPr>
          <w:p>
            <w:pPr>
              <w:jc w:val="center"/>
            </w:pPr>
            <w:r>
              <w:rPr>
                <w:b/>
                <w:bCs/>
                <w:color w:val="FFFFFF"/>
                <w:sz w:val="17"/>
                <w:szCs w:val="17"/>
              </w:rPr>
              <w:t xml:space="preserve">Naturaleza</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Detalle de respuestas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19,220</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1,608 kB</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Crecimiento lineal</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Respuestas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3,844</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688 kB</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Crecimiento lineal</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Consentimientos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1,162</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312 kB</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Append-only</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Empleados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1,161</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240 kB</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Estable</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Seudónimos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1,161</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240 kB</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Estable</w:t>
            </w:r>
          </w:p>
        </w:tc>
      </w:tr>
      <w:tr>
        <w:tc>
          <w:tcPr>
            <w:tcW w:type="dxa" w:w="3400"/>
            <w:shd w:fill="F2F2F2" w:val="clear"/>
            <w:tcMar>
              <w:top w:type="dxa" w:w="70"/>
              <w:left w:type="dxa" w:w="100"/>
              <w:bottom w:type="dxa" w:w="70"/>
              <w:right w:type="dxa" w:w="100"/>
            </w:tcMar>
            <w:vAlign w:val="center"/>
          </w:tcPr>
          <w:p>
            <w:pPr>
              <w:jc w:val="left"/>
            </w:pPr>
            <w:r>
              <w:rPr>
                <w:b/>
                <w:bCs/>
                <w:color w:val="000000"/>
                <w:sz w:val="16"/>
                <w:szCs w:val="16"/>
              </w:rPr>
              <w:t xml:space="preserve">Base completa</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1900"/>
            <w:shd w:fill="F2F2F2" w:val="clear"/>
            <w:tcMar>
              <w:top w:type="dxa" w:w="70"/>
              <w:left w:type="dxa" w:w="100"/>
              <w:bottom w:type="dxa" w:w="70"/>
              <w:right w:type="dxa" w:w="100"/>
            </w:tcMar>
            <w:vAlign w:val="center"/>
          </w:tcPr>
          <w:p>
            <w:pPr>
              <w:jc w:val="center"/>
            </w:pPr>
            <w:r>
              <w:rPr>
                <w:b/>
                <w:bCs/>
                <w:color w:val="000000"/>
                <w:sz w:val="16"/>
                <w:szCs w:val="16"/>
              </w:rPr>
              <w:t xml:space="preserve">12 MB</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Cuatro campañas</w:t>
            </w:r>
          </w:p>
        </w:tc>
      </w:tr>
    </w:tbl>
    <w:p>
      <w:pPr>
        <w:pStyle w:val="Heading2"/>
        <w:spacing w:after="120" w:before="240"/>
      </w:pPr>
      <w:r>
        <w:t xml:space="preserve">7.1 Proyección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Horizonte</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Cálculo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Almacenamiento</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Un año (4 campañas trimestrales)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Medido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12 MB</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Cinco años</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 MB × 5</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60 MB</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Diez años con retención completa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12 MB × 10</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120 MB</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Diez veces la plantilla (11,500 personas), un año</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 MB × 10</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120 MB</w:t>
            </w:r>
          </w:p>
        </w:tc>
      </w:tr>
    </w:tbl>
    <w:p>
      <w:pPr>
        <w:spacing w:after="160"/>
        <w:jc w:val="both"/>
      </w:pPr>
      <w:r>
        <w:rPr>
          <w:b/>
          <w:bCs/>
          <w:i w:val="false"/>
          <w:iCs w:val="false"/>
        </w:rPr>
        <w:t xml:space="preserve">El almacenamiento no es una restricción de este sistema. </w:t>
      </w:r>
      <w:r>
        <w:rPr>
          <w:b w:val="false"/>
          <w:bCs w:val="false"/>
          <w:i w:val="false"/>
          <w:iCs w:val="false"/>
        </w:rPr>
        <w:t xml:space="preserve">Incluso conservando diez años de historia con diez veces la plantilla actual, el volumen se mantiene por debajo de dos gigabytes, muy dentro de lo que atiende una instancia modesta con disco persistente de 20 GB.</w:t>
      </w:r>
    </w:p>
    <w:p>
      <w:pPr>
        <w:spacing w:after="160"/>
        <w:jc w:val="both"/>
      </w:pPr>
      <w:r>
        <w:t xml:space="preserve">La política de retención declarada en el aviso de privacidad —veinticuatro meses para respuestas y cinco años para evidencia de consentimiento— acota el crecimiento por diseño.</w:t>
      </w:r>
    </w:p>
    <w:p>
      <w:pPr>
        <w:pStyle w:val="Heading1"/>
        <w:spacing w:after="160" w:before="320"/>
      </w:pPr>
      <w:r>
        <w:t xml:space="preserve">8. Escalabilidad</w:t>
      </w:r>
    </w:p>
    <w:p>
      <w:pPr>
        <w:pStyle w:val="Heading2"/>
        <w:spacing w:after="120" w:before="240"/>
      </w:pPr>
      <w:r>
        <w:t xml:space="preserve">8.1 Comportamiento observado</w:t>
      </w:r>
    </w:p>
    <w:p>
      <w:pPr>
        <w:spacing w:after="160"/>
        <w:jc w:val="both"/>
      </w:pPr>
      <w:r>
        <w:t xml:space="preserve">La latencia de la agregación crece con el número de respuestas del grupo, que es lo esperado: la función recorre las respuestas para calcular la media.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Respuestas</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Latencia</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Relación</w:t>
            </w:r>
          </w:p>
        </w:tc>
        <w:tc>
          <w:tcPr>
            <w:tcW w:type="dxa" w:w="2280"/>
            <w:shd w:fill="1F3864" w:val="clear"/>
            <w:tcMar>
              <w:top w:type="dxa" w:w="70"/>
              <w:left w:type="dxa" w:w="100"/>
              <w:bottom w:type="dxa" w:w="70"/>
              <w:right w:type="dxa" w:w="100"/>
            </w:tcMar>
            <w:vAlign w:val="center"/>
          </w:tcPr>
          <w:p>
            <w:pPr>
              <w:jc w:val="center"/>
            </w:pPr>
            <w:r>
              <w:rPr>
                <w:b/>
                <w:bCs/>
                <w:color w:val="FFFFFF"/>
                <w:sz w:val="17"/>
                <w:szCs w:val="17"/>
              </w:rPr>
              <w:t xml:space="preserve">Interpretación</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19</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9.2 ms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Costo base de la función</w:t>
            </w:r>
          </w:p>
        </w:tc>
      </w:tr>
      <w:t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75</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11.3 ms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 3.9 datos, × 1.2 tiempo</w:t>
            </w:r>
          </w:p>
        </w:tc>
        <w:tc>
          <w:tcPr>
            <w:tcW w:type="dxa" w:w="2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Domina el costo fijo</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171</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 9 datos, × 5.6 tiempo</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Comienza a dominar el recorrido</w:t>
            </w:r>
          </w:p>
        </w:tc>
      </w:tr>
    </w:tbl>
    <w:p>
      <w:pPr>
        <w:spacing w:after="160"/>
        <w:jc w:val="both"/>
      </w:pPr>
      <w:r>
        <w:t xml:space="preserve">La proyección a una unidad de 1,700 respuestas, diez veces la mayor actual, sitúa la latencia alrededor de medio segundo, todavía dentro de un límite aceptable para una consulta de tablero que no se ejecuta de forma continua.</w:t>
      </w:r>
    </w:p>
    <w:p>
      <w:pPr>
        <w:pStyle w:val="Heading2"/>
        <w:spacing w:after="120" w:before="240"/>
      </w:pPr>
      <w:r>
        <w:t xml:space="preserve">8.2 Estrategia por componente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Componente</w:t>
            </w:r>
          </w:p>
        </w:tc>
        <w:tc>
          <w:tcPr>
            <w:tcW w:type="dxa" w:w="3200"/>
            <w:shd w:fill="1F3864" w:val="clear"/>
            <w:tcMar>
              <w:top w:type="dxa" w:w="70"/>
              <w:left w:type="dxa" w:w="100"/>
              <w:bottom w:type="dxa" w:w="70"/>
              <w:right w:type="dxa" w:w="100"/>
            </w:tcMar>
            <w:vAlign w:val="center"/>
          </w:tcPr>
          <w:p>
            <w:pPr>
              <w:jc w:val="center"/>
            </w:pPr>
            <w:r>
              <w:rPr>
                <w:b/>
                <w:bCs/>
                <w:color w:val="FFFFFF"/>
                <w:sz w:val="17"/>
                <w:szCs w:val="17"/>
              </w:rPr>
              <w:t xml:space="preserve">Estrategia</w:t>
            </w:r>
          </w:p>
        </w:tc>
        <w:tc>
          <w:tcPr>
            <w:tcW w:type="dxa" w:w="3280"/>
            <w:shd w:fill="1F3864" w:val="clear"/>
            <w:tcMar>
              <w:top w:type="dxa" w:w="70"/>
              <w:left w:type="dxa" w:w="100"/>
              <w:bottom w:type="dxa" w:w="70"/>
              <w:right w:type="dxa" w:w="100"/>
            </w:tcMar>
            <w:vAlign w:val="center"/>
          </w:tcPr>
          <w:p>
            <w:pPr>
              <w:jc w:val="center"/>
            </w:pPr>
            <w:r>
              <w:rPr>
                <w:b/>
                <w:bCs/>
                <w:color w:val="FFFFFF"/>
                <w:sz w:val="17"/>
                <w:szCs w:val="17"/>
              </w:rPr>
              <w:t xml:space="preserve">Disparador</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Sistema web</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Escalamiento horizontal detrás de un balanceador</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Más de 200 usuarios concurrentes</w:t>
            </w:r>
          </w:p>
        </w:tc>
      </w:tr>
      <w:t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PostgreSQL</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Escalamiento vertical primero; réplica de lectura después</w:t>
            </w:r>
          </w:p>
        </w:tc>
        <w:tc>
          <w:tcPr>
            <w:tcW w:type="dxa" w:w="3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Latencia de agregado por encima de 300 ms</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Agregación</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Precálculo por campaña al cerrarla</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Más de 50 unidades organizacionales</w:t>
            </w:r>
          </w:p>
        </w:tc>
      </w:tr>
      <w:t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Redis</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Caché de agregados ya publicados</w:t>
            </w:r>
          </w:p>
        </w:tc>
        <w:tc>
          <w:tcPr>
            <w:tcW w:type="dxa" w:w="3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Consultas repetidas al mismo tablero</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Bitácora</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Partición por rango de fecha</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Más de diez millones de eventos</w:t>
            </w:r>
          </w:p>
        </w:tc>
      </w:tr>
    </w:tbl>
    <w:p>
      <w:pPr>
        <w:spacing w:after="160"/>
        <w:jc w:val="both"/>
      </w:pPr>
      <w:r>
        <w:rPr>
          <w:b/>
          <w:bCs/>
          <w:i w:val="false"/>
          <w:iCs w:val="false"/>
        </w:rPr>
        <w:t xml:space="preserve">Orden de intervención: </w:t>
      </w:r>
      <w:r>
        <w:rPr>
          <w:b w:val="false"/>
          <w:bCs w:val="false"/>
          <w:i w:val="false"/>
          <w:iCs w:val="false"/>
        </w:rPr>
        <w:t xml:space="preserve">vertical antes que horizontal. Las mediciones muestran holgura suficiente para que el crecimiento de la organización se atienda aumentando recursos de una sola instancia antes de introducir la complejidad de la replicación.</w:t>
      </w:r>
    </w:p>
    <w:p>
      <w:pPr>
        <w:pStyle w:val="Heading2"/>
        <w:spacing w:after="120" w:before="240"/>
      </w:pPr>
      <w:r>
        <w:t xml:space="preserve">8.3 Precálculo como siguiente paso</w:t>
      </w:r>
    </w:p>
    <w:p>
      <w:pPr>
        <w:spacing w:after="160"/>
        <w:jc w:val="both"/>
      </w:pPr>
      <w:r>
        <w:t xml:space="preserve">La tabla de resultados protegidos ya almacena cada agregado publicado. Al cerrar una campaña, el sistema puede calcular una sola vez los agregados de todas las unidades y servir las consultas posteriores desde esa tabla, sin recorrer las respuestas. Esto tiene además una consecuencia favorable en privacidad: reduce el número de consultas que consumen presupuesto.</w:t>
      </w:r>
    </w:p>
    <w:p>
      <w:pPr>
        <w:pStyle w:val="Heading1"/>
        <w:spacing w:after="160" w:before="320"/>
      </w:pPr>
      <w:r>
        <w:t xml:space="preserve">9. Confiabilidad</w:t>
      </w:r>
    </w:p>
    <w:p>
      <w:pPr>
        <w:pStyle w:val="Heading2"/>
        <w:spacing w:after="120" w:before="240"/>
      </w:pPr>
      <w:r>
        <w:t xml:space="preserve">9.1 Modos de falla y degradación</w:t>
      </w:r>
    </w:p>
    <w:p>
      <w:pPr>
        <w:spacing w:after="160"/>
        <w:jc w:val="both"/>
      </w:pPr>
      <w:r>
        <w:t xml:space="preserve">El sistema se diseñó para que la falla de un componente no implique la caída total, en línea con el criterio de integración del proyecto.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Componente</w:t>
            </w:r>
          </w:p>
        </w:tc>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Si falla</w:t>
            </w:r>
          </w:p>
        </w:tc>
        <w:tc>
          <w:tcPr>
            <w:tcW w:type="dxa" w:w="3680"/>
            <w:shd w:fill="1F3864" w:val="clear"/>
            <w:tcMar>
              <w:top w:type="dxa" w:w="70"/>
              <w:left w:type="dxa" w:w="100"/>
              <w:bottom w:type="dxa" w:w="70"/>
              <w:right w:type="dxa" w:w="100"/>
            </w:tcMar>
            <w:vAlign w:val="center"/>
          </w:tcPr>
          <w:p>
            <w:pPr>
              <w:jc w:val="center"/>
            </w:pPr>
            <w:r>
              <w:rPr>
                <w:b/>
                <w:bCs/>
                <w:color w:val="FFFFFF"/>
                <w:sz w:val="17"/>
                <w:szCs w:val="17"/>
              </w:rPr>
              <w:t xml:space="preserve">Comportamiento del sistema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PostgreSQL</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3680"/>
            <w:tcMar>
              <w:top w:type="dxa" w:w="70"/>
              <w:left w:type="dxa" w:w="100"/>
              <w:bottom w:type="dxa" w:w="70"/>
              <w:right w:type="dxa" w:w="100"/>
            </w:tcMar>
            <w:vAlign w:val="center"/>
          </w:tcPr>
          <w:p>
            <w:pPr>
              <w:jc w:val="left"/>
            </w:pPr>
            <w:r>
              <w:rPr>
                <w:b w:val="false"/>
                <w:bCs w:val="false"/>
                <w:color w:val="B00020"/>
                <w:sz w:val="16"/>
                <w:szCs w:val="16"/>
              </w:rPr>
              <w:t xml:space="preserve">Caída total. Es el único punto único de falla en esta etapa.</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Redis</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 pierden las sesiones activas y la lista de revocación. Las personas deben iniciar sesión de nuevo y las consultas van directo a PostgreSQL. El sistema opera con mayor latencia.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MongoDB</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Sin efecto en esta etapa: las respuestas viven en PostgreSQL y MongoDB solo está analizado.</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Microservicios</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Indisponibles</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Sin efecto: el sistema web opera de forma independiente por requisito de arquitectura.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Aplicaciones cliente</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Indisponibles</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Sin efecto: el portal web cubre todas las operaciones.</w:t>
            </w:r>
          </w:p>
        </w:tc>
      </w:tr>
    </w:tbl>
    <w:p>
      <w:pPr>
        <w:spacing w:after="160"/>
        <w:jc w:val="both"/>
      </w:pPr>
      <w:r>
        <w:rPr>
          <w:b/>
          <w:bCs/>
          <w:i w:val="false"/>
          <w:iCs w:val="false"/>
        </w:rPr>
        <w:t xml:space="preserve">Riesgo declarado: </w:t>
      </w:r>
      <w:r>
        <w:rPr>
          <w:b w:val="false"/>
          <w:bCs w:val="false"/>
          <w:i w:val="false"/>
          <w:iCs w:val="false"/>
        </w:rPr>
        <w:t xml:space="preserve">PostgreSQL concentra la identidad, el consentimiento y las respuestas. Su indisponibilidad detiene el servicio. La mitigación para el siguiente parcial es respaldo automático con recuperación a un punto en el tiempo y una réplica de lectura que absorba las consultas de tablero.</w:t>
      </w:r>
    </w:p>
    <w:p>
      <w:pPr>
        <w:pStyle w:val="Heading2"/>
        <w:spacing w:after="120" w:before="240"/>
      </w:pPr>
      <w:r>
        <w:t xml:space="preserve">9.2 Degradación ante supresión</w:t>
      </w:r>
    </w:p>
    <w:p>
      <w:pPr>
        <w:spacing w:after="160"/>
        <w:jc w:val="both"/>
      </w:pPr>
      <w:r>
        <w:t xml:space="preserve">Conviene distinguir una falla de una respuesta protegida. Cuando el sistema responde grupo insuficiente o presupuesto agotado no está fallando: está cumpliendo una regla. La interfaz debe presentarlo como información, no como error, y la bitácora lo registra con su propio código de resultado.</w:t>
      </w:r>
    </w:p>
    <w:p>
      <w:pPr>
        <w:pStyle w:val="Heading1"/>
        <w:spacing w:after="160" w:before="320"/>
      </w:pPr>
      <w:r>
        <w:t xml:space="preserve">10. Concurrencia</w:t>
      </w:r>
    </w:p>
    <w:p>
      <w:pPr>
        <w:spacing w:after="160"/>
        <w:jc w:val="both"/>
      </w:pPr>
      <w:r>
        <w:t xml:space="preserve">La concurrencia se probó específicamente sobre el punto de contención del sistema: la fila de presupuesto de privacidad, que toda consulta de agregado debe leer y actualizar.</w:t>
      </w:r>
    </w:p>
    <w:p>
      <w:pPr>
        <w:pStyle w:val="Heading2"/>
        <w:spacing w:after="120" w:before="240"/>
      </w:pPr>
      <w:r>
        <w:t xml:space="preserve">10.1 Defecto encontrado</w:t>
      </w:r>
    </w:p>
    <w:p>
      <w:pPr>
        <w:spacing w:after="160"/>
        <w:jc w:val="both"/>
      </w:pPr>
      <w:r>
        <w:rPr>
          <w:b/>
          <w:bCs/>
          <w:i w:val="false"/>
          <w:iCs w:val="false"/>
        </w:rPr>
        <w:t xml:space="preserve">La prueba reveló un defecto real que la ejecución secuencial no mostraba. </w:t>
      </w:r>
      <w:r>
        <w:rPr>
          <w:b w:val="false"/>
          <w:bCs w:val="false"/>
          <w:i w:val="false"/>
          <w:iCs w:val="false"/>
        </w:rPr>
        <w:t xml:space="preserve">Al lanzar ocho consultas simultáneas sobre una combinación de campaña y unidad sin presupuesto previo, cinco fallaron con violación de llave única: varias transacciones comprobaban que la fila no existía y todas intentaban crearla.</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ERROR: duplicate key value violates unique constraint</w:t>
      </w:r>
      <w:r>
        <w:br/>
      </w:r>
      <w:r>
        <w:rPr>
          <w:rFonts w:ascii="Consolas" w:cs="Consolas" w:eastAsia="Consolas" w:hAnsi="Consolas"/>
          <w:sz w:val="16"/>
          <w:szCs w:val="16"/>
        </w:rPr>
        <w:t xml:space="preserve">       "presupuesto_privacidad_campania_id_unidad_..."</w:t>
      </w:r>
      <w:r>
        <w:br/>
      </w:r>
      <w:r>
        <w:rPr>
          <w:rFonts w:ascii="Consolas" w:cs="Consolas" w:eastAsia="Consolas" w:hAnsi="Consolas"/>
          <w:sz w:val="16"/>
          <w:szCs w:val="16"/>
        </w:rPr>
        <w:t xml:space="preserve">CONTEXT: INSERT INTO agregado.presupuesto_privacidad ...</w:t>
      </w:r>
      <w:r>
        <w:br/>
      </w:r>
      <w:r>
        <w:rPr>
          <w:rFonts w:ascii="Consolas" w:cs="Consolas" w:eastAsia="Consolas" w:hAnsi="Consolas"/>
          <w:sz w:val="16"/>
          <w:szCs w:val="16"/>
        </w:rPr>
        <w:t xml:space="preserve">         PL/pgSQL function fn_calcular_agregado_protegido line 63</w:t>
      </w:r>
    </w:p>
    <w:p>
      <w:pPr>
        <w:spacing w:after="160"/>
        <w:jc w:val="both"/>
      </w:pPr>
      <w:r>
        <w:t xml:space="preserve">Se identificó además un segundo defecto latente: la verificación del presupuesto usaba un valor leído antes de la actualización. Dos consultas concurrentes cerca del límite podían aprobar ambas y sobregirar el presupuesto de privacidad, que es precisamente la garantía que el mecanismo debe sostener.</w:t>
      </w:r>
    </w:p>
    <w:p>
      <w:pPr>
        <w:pStyle w:val="Heading2"/>
        <w:spacing w:after="120" w:before="240"/>
      </w:pPr>
      <w:r>
        <w:t xml:space="preserve">10.2 Corrección aplicada</w:t>
      </w:r>
    </w:p>
    <w:p>
      <w:pPr>
        <w:pStyle w:val="ListParagraph"/>
        <w:numPr>
          <w:ilvl w:val="0"/>
          <w:numId w:val="1"/>
        </w:numPr>
        <w:spacing w:after="80"/>
      </w:pPr>
      <w:r>
        <w:t xml:space="preserve">Creación idempotente del presupuesto: la inserción se resuelve con ON CONFLICT, de modo que la transacción que llega segunda recupera la fila existente en lugar de fallar.</w:t>
      </w:r>
    </w:p>
    <w:p>
      <w:pPr>
        <w:pStyle w:val="ListParagraph"/>
        <w:numPr>
          <w:ilvl w:val="0"/>
          <w:numId w:val="1"/>
        </w:numPr>
        <w:spacing w:after="80"/>
      </w:pPr>
      <w:r>
        <w:t xml:space="preserve">Consumo atómico: la condición del presupuesto viaja dentro de la cláusula WHERE de la actualización. PostgreSQL la reevalúa bajo el bloqueo de fila, por lo que dos consultas concurrentes no pueden aprobar ambas.</w:t>
      </w:r>
    </w:p>
    <w:p>
      <w:pPr>
        <w:pStyle w:val="Heading2"/>
        <w:spacing w:after="120" w:before="240"/>
      </w:pPr>
      <w:r>
        <w:t xml:space="preserve">10.3 Verificación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Prueba</w:t>
            </w:r>
          </w:p>
        </w:tc>
        <w:tc>
          <w:tcPr>
            <w:tcW w:type="dxa" w:w="2800"/>
            <w:shd w:fill="1F3864" w:val="clear"/>
            <w:tcMar>
              <w:top w:type="dxa" w:w="70"/>
              <w:left w:type="dxa" w:w="100"/>
              <w:bottom w:type="dxa" w:w="70"/>
              <w:right w:type="dxa" w:w="100"/>
            </w:tcMar>
            <w:vAlign w:val="center"/>
          </w:tcPr>
          <w:p>
            <w:pPr>
              <w:jc w:val="center"/>
            </w:pPr>
            <w:r>
              <w:rPr>
                <w:b/>
                <w:bCs/>
                <w:color w:val="FFFFFF"/>
                <w:sz w:val="17"/>
                <w:szCs w:val="17"/>
              </w:rPr>
              <w:t xml:space="preserve">Antes</w:t>
            </w:r>
          </w:p>
        </w:tc>
        <w:tc>
          <w:tcPr>
            <w:tcW w:type="dxa" w:w="3280"/>
            <w:shd w:fill="1F3864" w:val="clear"/>
            <w:tcMar>
              <w:top w:type="dxa" w:w="70"/>
              <w:left w:type="dxa" w:w="100"/>
              <w:bottom w:type="dxa" w:w="70"/>
              <w:right w:type="dxa" w:w="100"/>
            </w:tcMar>
            <w:vAlign w:val="center"/>
          </w:tcPr>
          <w:p>
            <w:pPr>
              <w:jc w:val="center"/>
            </w:pPr>
            <w:r>
              <w:rPr>
                <w:b/>
                <w:bCs/>
                <w:color w:val="FFFFFF"/>
                <w:sz w:val="17"/>
                <w:szCs w:val="17"/>
              </w:rPr>
              <w:t xml:space="preserve">Después</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8 consultas simultáneas, presupuesto inexistente</w:t>
            </w:r>
          </w:p>
        </w:tc>
        <w:tc>
          <w:tcPr>
            <w:tcW w:type="dxa" w:w="2800"/>
            <w:tcMar>
              <w:top w:type="dxa" w:w="70"/>
              <w:left w:type="dxa" w:w="100"/>
              <w:bottom w:type="dxa" w:w="70"/>
              <w:right w:type="dxa" w:w="100"/>
            </w:tcMar>
            <w:vAlign w:val="center"/>
          </w:tcPr>
          <w:p>
            <w:pPr>
              <w:jc w:val="left"/>
            </w:pPr>
            <w:r>
              <w:rPr>
                <w:b w:val="false"/>
                <w:bCs w:val="false"/>
                <w:color w:val="B00020"/>
                <w:sz w:val="16"/>
                <w:szCs w:val="16"/>
              </w:rPr>
              <w:t xml:space="preserve">3 exitosas, 5 con error</w:t>
            </w:r>
          </w:p>
        </w:tc>
        <w:tc>
          <w:tcPr>
            <w:tcW w:type="dxa" w:w="3280"/>
            <w:tcMar>
              <w:top w:type="dxa" w:w="70"/>
              <w:left w:type="dxa" w:w="100"/>
              <w:bottom w:type="dxa" w:w="70"/>
              <w:right w:type="dxa" w:w="100"/>
            </w:tcMar>
            <w:vAlign w:val="center"/>
          </w:tcPr>
          <w:p>
            <w:pPr>
              <w:jc w:val="left"/>
            </w:pPr>
            <w:r>
              <w:rPr>
                <w:b/>
                <w:bCs/>
                <w:color w:val="0F6B62"/>
                <w:sz w:val="16"/>
                <w:szCs w:val="16"/>
              </w:rPr>
              <w:t xml:space="preserve">8 exitosas, 0 errores</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12 consultas simultáneas, presupuesto de 5 épsilon</w:t>
            </w:r>
          </w:p>
        </w:tc>
        <w:tc>
          <w:tcPr>
            <w:tcW w:type="dxa" w:w="2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No comprobado</w:t>
            </w:r>
          </w:p>
        </w:tc>
        <w:tc>
          <w:tcPr>
            <w:tcW w:type="dxa" w:w="3280"/>
            <w:shd w:fill="F2F2F2" w:val="clear"/>
            <w:tcMar>
              <w:top w:type="dxa" w:w="70"/>
              <w:left w:type="dxa" w:w="100"/>
              <w:bottom w:type="dxa" w:w="70"/>
              <w:right w:type="dxa" w:w="100"/>
            </w:tcMar>
            <w:vAlign w:val="center"/>
          </w:tcPr>
          <w:p>
            <w:pPr>
              <w:jc w:val="left"/>
            </w:pPr>
            <w:r>
              <w:rPr>
                <w:b/>
                <w:bCs/>
                <w:color w:val="0F6B62"/>
                <w:sz w:val="16"/>
                <w:szCs w:val="16"/>
              </w:rPr>
              <w:t xml:space="preserve">5 publican, 7 rechazan</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Épsilon consumido al cierre</w:t>
            </w:r>
          </w:p>
        </w:tc>
        <w:tc>
          <w:tcPr>
            <w:tcW w:type="dxa" w:w="2800"/>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3280"/>
            <w:tcMar>
              <w:top w:type="dxa" w:w="70"/>
              <w:left w:type="dxa" w:w="100"/>
              <w:bottom w:type="dxa" w:w="70"/>
              <w:right w:type="dxa" w:w="100"/>
            </w:tcMar>
            <w:vAlign w:val="center"/>
          </w:tcPr>
          <w:p>
            <w:pPr>
              <w:jc w:val="left"/>
            </w:pPr>
            <w:r>
              <w:rPr>
                <w:b/>
                <w:bCs/>
                <w:color w:val="0F6B62"/>
                <w:sz w:val="16"/>
                <w:szCs w:val="16"/>
              </w:rPr>
              <w:t xml:space="preserve">5.0000 exacto, sin sobregiro</w:t>
            </w:r>
          </w:p>
        </w:tc>
      </w:tr>
    </w:tbl>
    <w:p>
      <w:pPr>
        <w:spacing w:after="160"/>
        <w:jc w:val="both"/>
      </w:pPr>
      <w:r>
        <w:rPr>
          <w:b/>
          <w:bCs/>
          <w:i w:val="false"/>
          <w:iCs w:val="false"/>
        </w:rPr>
        <w:t xml:space="preserve">Resultado: </w:t>
      </w:r>
      <w:r>
        <w:rPr>
          <w:b w:val="false"/>
          <w:bCs w:val="false"/>
          <w:i w:val="false"/>
          <w:iCs w:val="false"/>
        </w:rPr>
        <w:t xml:space="preserve">el presupuesto de privacidad no puede violarse por concurrencia. Con doce consultas simultáneas y un presupuesto de cinco épsilon, exactamente cinco publicaron y el consumo registrado fue de 5.0000, no de 12.0000. Esta garantía es tan importante como el mecanismo de ruido: un presupuesto que se sobregira bajo carga no protege nada.</w:t>
      </w:r>
    </w:p>
    <w:p>
      <w:pPr>
        <w:pStyle w:val="Heading2"/>
        <w:spacing w:after="120" w:before="240"/>
      </w:pPr>
      <w:r>
        <w:t xml:space="preserve">10.4 Contención observada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Consultas simultáneas</w:t>
            </w:r>
          </w:p>
        </w:tc>
        <w:tc>
          <w:tcPr>
            <w:tcW w:type="dxa" w:w="2800"/>
            <w:shd w:fill="1F3864" w:val="clear"/>
            <w:tcMar>
              <w:top w:type="dxa" w:w="70"/>
              <w:left w:type="dxa" w:w="100"/>
              <w:bottom w:type="dxa" w:w="70"/>
              <w:right w:type="dxa" w:w="100"/>
            </w:tcMar>
            <w:vAlign w:val="center"/>
          </w:tcPr>
          <w:p>
            <w:pPr>
              <w:jc w:val="center"/>
            </w:pPr>
            <w:r>
              <w:rPr>
                <w:b/>
                <w:bCs/>
                <w:color w:val="FFFFFF"/>
                <w:sz w:val="17"/>
                <w:szCs w:val="17"/>
              </w:rPr>
              <w:t xml:space="preserve">Tiempo total</w:t>
            </w:r>
          </w:p>
        </w:tc>
        <w:tc>
          <w:tcPr>
            <w:tcW w:type="dxa" w:w="2880"/>
            <w:shd w:fill="1F3864" w:val="clear"/>
            <w:tcMar>
              <w:top w:type="dxa" w:w="70"/>
              <w:left w:type="dxa" w:w="100"/>
              <w:bottom w:type="dxa" w:w="70"/>
              <w:right w:type="dxa" w:w="100"/>
            </w:tcMar>
            <w:vAlign w:val="center"/>
          </w:tcPr>
          <w:p>
            <w:pPr>
              <w:jc w:val="center"/>
            </w:pPr>
            <w:r>
              <w:rPr>
                <w:b/>
                <w:bCs/>
                <w:color w:val="FFFFFF"/>
                <w:sz w:val="17"/>
                <w:szCs w:val="17"/>
              </w:rPr>
              <w:t xml:space="preserve">Observación</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2800"/>
            <w:tcMar>
              <w:top w:type="dxa" w:w="70"/>
              <w:left w:type="dxa" w:w="100"/>
              <w:bottom w:type="dxa" w:w="70"/>
              <w:right w:type="dxa" w:w="100"/>
            </w:tcMar>
            <w:vAlign w:val="center"/>
          </w:tcPr>
          <w:p>
            <w:pPr>
              <w:jc w:val="center"/>
            </w:pPr>
            <w:r>
              <w:rPr>
                <w:b w:val="false"/>
                <w:bCs w:val="false"/>
                <w:color w:val="000000"/>
                <w:sz w:val="16"/>
                <w:szCs w:val="16"/>
              </w:rPr>
              <w:t xml:space="preserve">77 ms</w:t>
            </w:r>
          </w:p>
        </w:tc>
        <w:tc>
          <w:tcPr>
            <w:tcW w:type="dxa" w:w="2880"/>
            <w:tcMar>
              <w:top w:type="dxa" w:w="70"/>
              <w:left w:type="dxa" w:w="100"/>
              <w:bottom w:type="dxa" w:w="70"/>
              <w:right w:type="dxa" w:w="100"/>
            </w:tcMar>
            <w:vAlign w:val="center"/>
          </w:tcPr>
          <w:p>
            <w:pPr>
              <w:jc w:val="center"/>
            </w:pPr>
            <w:r>
              <w:rPr>
                <w:b w:val="false"/>
                <w:bCs w:val="false"/>
                <w:color w:val="000000"/>
                <w:sz w:val="16"/>
                <w:szCs w:val="16"/>
              </w:rPr>
              <w:t xml:space="preserve">Referencia</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5 sobre la misma unidad</w:t>
            </w:r>
          </w:p>
        </w:tc>
        <w:tc>
          <w:tcPr>
            <w:tcW w:type="dxa" w:w="2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197 ms</w:t>
            </w:r>
          </w:p>
        </w:tc>
        <w:tc>
          <w:tcPr>
            <w:tcW w:type="dxa" w:w="2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Serialización en la fila de presupuesto</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10 sobre la misma unidad</w:t>
            </w:r>
          </w:p>
        </w:tc>
        <w:tc>
          <w:tcPr>
            <w:tcW w:type="dxa" w:w="2800"/>
            <w:tcMar>
              <w:top w:type="dxa" w:w="70"/>
              <w:left w:type="dxa" w:w="100"/>
              <w:bottom w:type="dxa" w:w="70"/>
              <w:right w:type="dxa" w:w="100"/>
            </w:tcMar>
            <w:vAlign w:val="center"/>
          </w:tcPr>
          <w:p>
            <w:pPr>
              <w:jc w:val="center"/>
            </w:pPr>
            <w:r>
              <w:rPr>
                <w:b w:val="false"/>
                <w:bCs w:val="false"/>
                <w:color w:val="000000"/>
                <w:sz w:val="16"/>
                <w:szCs w:val="16"/>
              </w:rPr>
              <w:t xml:space="preserve">338 ms</w:t>
            </w:r>
          </w:p>
        </w:tc>
        <w:tc>
          <w:tcPr>
            <w:tcW w:type="dxa" w:w="2880"/>
            <w:tcMar>
              <w:top w:type="dxa" w:w="70"/>
              <w:left w:type="dxa" w:w="100"/>
              <w:bottom w:type="dxa" w:w="70"/>
              <w:right w:type="dxa" w:w="100"/>
            </w:tcMar>
            <w:vAlign w:val="center"/>
          </w:tcPr>
          <w:p>
            <w:pPr>
              <w:jc w:val="center"/>
            </w:pPr>
            <w:r>
              <w:rPr>
                <w:b w:val="false"/>
                <w:bCs w:val="false"/>
                <w:color w:val="000000"/>
                <w:sz w:val="16"/>
                <w:szCs w:val="16"/>
              </w:rPr>
              <w:t xml:space="preserve">Crecimiento aproximadamente lineal</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10 sobre unidades distintas</w:t>
            </w:r>
          </w:p>
        </w:tc>
        <w:tc>
          <w:tcPr>
            <w:tcW w:type="dxa" w:w="2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352 ms</w:t>
            </w:r>
          </w:p>
        </w:tc>
        <w:tc>
          <w:tcPr>
            <w:tcW w:type="dxa" w:w="2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Sin contención; domina el costo de proceso</w:t>
            </w:r>
          </w:p>
        </w:tc>
      </w:tr>
    </w:tbl>
    <w:p>
      <w:pPr>
        <w:spacing w:after="160"/>
        <w:jc w:val="both"/>
      </w:pPr>
      <w:r>
        <w:t xml:space="preserve">La contención es aceptable porque el presupuesto limita a ocho las consultas posibles por unidad y campaña. Un escenario de cientos de consultas simultáneas sobre la misma unidad no puede ocurrir por diseño.</w:t>
      </w:r>
    </w:p>
    <w:p>
      <w:pPr>
        <w:pStyle w:val="Heading1"/>
        <w:spacing w:after="160" w:before="320"/>
      </w:pPr>
      <w:r>
        <w:t xml:space="preserve">11. Plan de pruebas de carga con Locust</w:t>
      </w:r>
    </w:p>
    <w:p>
      <w:pPr>
        <w:spacing w:after="160"/>
        <w:jc w:val="both"/>
      </w:pPr>
      <w:r>
        <w:t xml:space="preserve">Las pruebas de carga corresponden al tercer parcial, pero el plan se define aquí porque condiciona la instrumentación que debe existir desde ahora. La guía del proyecto exige que la prueba simule perfiles distintos y no peticiones repetidas a un solo endpoint.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Perfil simulado</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Proporción</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Acción</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Frecuencia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Colaborador</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80 %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Consentir y responder la encuesta</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Una vez por campaña</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Líder</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12 %</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Consultar tablero y tendencia de su unidad</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Varias veces por semana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Especialista</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5 %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Comparar unidades y registrar intervenciones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Diaria</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Auditor</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2 %</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Consultar bitácora con filtros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Semanal</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Administrador</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1 %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Configurar parámetros y usuarios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Esporádica</w:t>
            </w:r>
          </w:p>
        </w:tc>
      </w:tr>
    </w:tbl>
    <w:p>
      <w:pPr>
        <w:pStyle w:val="Heading2"/>
        <w:spacing w:after="120" w:before="240"/>
      </w:pPr>
      <w:r>
        <w:t xml:space="preserve">11.1 Escenarios</w:t>
      </w:r>
    </w:p>
    <w:p>
      <w:pPr>
        <w:pStyle w:val="ListParagraph"/>
        <w:numPr>
          <w:ilvl w:val="0"/>
          <w:numId w:val="1"/>
        </w:numPr>
        <w:spacing w:after="80"/>
      </w:pPr>
      <w:r>
        <w:t xml:space="preserve">Régimen normal: carga distribuida a lo largo de la ventana de cinco días de la campaña.</w:t>
      </w:r>
    </w:p>
    <w:p>
      <w:pPr>
        <w:pStyle w:val="ListParagraph"/>
        <w:numPr>
          <w:ilvl w:val="0"/>
          <w:numId w:val="1"/>
        </w:numPr>
        <w:spacing w:after="80"/>
      </w:pPr>
      <w:r>
        <w:t xml:space="preserve">Pico de cambio de turno: 40 % de las respuestas concentradas en dos horas.</w:t>
      </w:r>
    </w:p>
    <w:p>
      <w:pPr>
        <w:pStyle w:val="ListParagraph"/>
        <w:numPr>
          <w:ilvl w:val="0"/>
          <w:numId w:val="1"/>
        </w:numPr>
        <w:spacing w:after="80"/>
      </w:pPr>
      <w:r>
        <w:t xml:space="preserve">Tormenta de tableros: todos los líderes consultando simultáneamente al cierre de campaña, hasta agotar el presupuesto de privacidad.</w:t>
      </w:r>
    </w:p>
    <w:p>
      <w:pPr>
        <w:pStyle w:val="ListParagraph"/>
        <w:numPr>
          <w:ilvl w:val="0"/>
          <w:numId w:val="1"/>
        </w:numPr>
        <w:spacing w:after="80"/>
      </w:pPr>
      <w:r>
        <w:t xml:space="preserve">Degradación: comportamiento del sistema con Redis fuera de servicio.</w:t>
      </w:r>
    </w:p>
    <w:p>
      <w:pPr>
        <w:pStyle w:val="Heading2"/>
        <w:spacing w:after="120" w:before="240"/>
      </w:pPr>
      <w:r>
        <w:t xml:space="preserve">11.2 Criterios de aceptación de la prueba</w:t>
      </w:r>
    </w:p>
    <w:p>
      <w:pPr>
        <w:pStyle w:val="ListParagraph"/>
        <w:numPr>
          <w:ilvl w:val="0"/>
          <w:numId w:val="1"/>
        </w:numPr>
        <w:spacing w:after="80"/>
      </w:pPr>
      <w:r>
        <w:t xml:space="preserve">Latencia p95 por debajo de 500 ms en operaciones de negocio.</w:t>
      </w:r>
    </w:p>
    <w:p>
      <w:pPr>
        <w:pStyle w:val="ListParagraph"/>
        <w:numPr>
          <w:ilvl w:val="0"/>
          <w:numId w:val="1"/>
        </w:numPr>
        <w:spacing w:after="80"/>
      </w:pPr>
      <w:r>
        <w:t xml:space="preserve">Cero errores de integridad en el presupuesto de privacidad bajo carga.</w:t>
      </w:r>
    </w:p>
    <w:p>
      <w:pPr>
        <w:pStyle w:val="ListParagraph"/>
        <w:numPr>
          <w:ilvl w:val="0"/>
          <w:numId w:val="1"/>
        </w:numPr>
        <w:spacing w:after="80"/>
      </w:pPr>
      <w:r>
        <w:t xml:space="preserve">Cero respuestas duplicadas por persona y campaña.</w:t>
      </w:r>
    </w:p>
    <w:p>
      <w:pPr>
        <w:pStyle w:val="ListParagraph"/>
        <w:numPr>
          <w:ilvl w:val="0"/>
          <w:numId w:val="1"/>
        </w:numPr>
        <w:spacing w:after="80"/>
      </w:pPr>
      <w:r>
        <w:t xml:space="preserve">Ningún resultado publicado con grupo menor que el umbral.</w:t>
      </w:r>
    </w:p>
    <w:p>
      <w:pPr>
        <w:pStyle w:val="Heading1"/>
        <w:spacing w:after="160" w:before="320"/>
      </w:pPr>
      <w:r>
        <w:t xml:space="preserve">12. Métricas y monitoreo</w:t>
      </w:r>
    </w:p>
    <w:p>
      <w:pPr>
        <w:spacing w:after="160"/>
        <w:jc w:val="both"/>
      </w:pPr>
      <w:r>
        <w:t xml:space="preserve">Las métricas que el sistema debe exponer se derivan de los riesgos identificados en este documento, no de una lista genérica.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Métrica</w:t>
            </w:r>
          </w:p>
        </w:tc>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Por qué importa</w:t>
            </w:r>
          </w:p>
        </w:tc>
        <w:tc>
          <w:tcPr>
            <w:tcW w:type="dxa" w:w="3080"/>
            <w:shd w:fill="1F3864" w:val="clear"/>
            <w:tcMar>
              <w:top w:type="dxa" w:w="70"/>
              <w:left w:type="dxa" w:w="100"/>
              <w:bottom w:type="dxa" w:w="70"/>
              <w:right w:type="dxa" w:w="100"/>
            </w:tcMar>
            <w:vAlign w:val="center"/>
          </w:tcPr>
          <w:p>
            <w:pPr>
              <w:jc w:val="center"/>
            </w:pPr>
            <w:r>
              <w:rPr>
                <w:b/>
                <w:bCs/>
                <w:color w:val="FFFFFF"/>
                <w:sz w:val="17"/>
                <w:szCs w:val="17"/>
              </w:rPr>
              <w:t xml:space="preserve">Umbral de alerta</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Latencia de agregado protegido</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Es el camino crítico medido</w:t>
            </w:r>
          </w:p>
        </w:tc>
        <w:tc>
          <w:tcPr>
            <w:tcW w:type="dxa" w:w="3080"/>
            <w:tcMar>
              <w:top w:type="dxa" w:w="70"/>
              <w:left w:type="dxa" w:w="100"/>
              <w:bottom w:type="dxa" w:w="70"/>
              <w:right w:type="dxa" w:w="100"/>
            </w:tcMar>
            <w:vAlign w:val="center"/>
          </w:tcPr>
          <w:p>
            <w:pPr>
              <w:jc w:val="center"/>
            </w:pPr>
            <w:r>
              <w:rPr>
                <w:b w:val="false"/>
                <w:bCs w:val="false"/>
                <w:color w:val="000000"/>
                <w:sz w:val="16"/>
                <w:szCs w:val="16"/>
              </w:rPr>
              <w:t xml:space="preserve">p95 mayor a 300 ms</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Épsilon consumido por campaña</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 se agota, el tablero deja de actualizarse</w:t>
            </w:r>
          </w:p>
        </w:tc>
        <w:tc>
          <w:tcPr>
            <w:tcW w:type="dxa" w:w="3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Por encima del 80 % del presupuesto</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Consultas con grupo insuficiente</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Indica unidades demasiado pequeñas para medir</w:t>
            </w:r>
          </w:p>
        </w:tc>
        <w:tc>
          <w:tcPr>
            <w:tcW w:type="dxa" w:w="3080"/>
            <w:tcMar>
              <w:top w:type="dxa" w:w="70"/>
              <w:left w:type="dxa" w:w="100"/>
              <w:bottom w:type="dxa" w:w="70"/>
              <w:right w:type="dxa" w:w="100"/>
            </w:tcMar>
            <w:vAlign w:val="center"/>
          </w:tcPr>
          <w:p>
            <w:pPr>
              <w:jc w:val="center"/>
            </w:pPr>
            <w:r>
              <w:rPr>
                <w:b w:val="false"/>
                <w:bCs w:val="false"/>
                <w:color w:val="000000"/>
                <w:sz w:val="16"/>
                <w:szCs w:val="16"/>
              </w:rPr>
              <w:t xml:space="preserve">Más del 30 % de las consultas</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Errores de integridad de presupuesto</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Debe ser siempre cero</w:t>
            </w:r>
          </w:p>
        </w:tc>
        <w:tc>
          <w:tcPr>
            <w:tcW w:type="dxa" w:w="3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Cualquier ocurrencia</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Tasa de escritura de bitácora</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Detecta accesos anómalos</w:t>
            </w:r>
          </w:p>
        </w:tc>
        <w:tc>
          <w:tcPr>
            <w:tcW w:type="dxa" w:w="3080"/>
            <w:tcMar>
              <w:top w:type="dxa" w:w="70"/>
              <w:left w:type="dxa" w:w="100"/>
              <w:bottom w:type="dxa" w:w="70"/>
              <w:right w:type="dxa" w:w="100"/>
            </w:tcMar>
            <w:vAlign w:val="center"/>
          </w:tcPr>
          <w:p>
            <w:pPr>
              <w:jc w:val="center"/>
            </w:pPr>
            <w:r>
              <w:rPr>
                <w:b w:val="false"/>
                <w:bCs w:val="false"/>
                <w:color w:val="000000"/>
                <w:sz w:val="16"/>
                <w:szCs w:val="16"/>
              </w:rPr>
              <w:t xml:space="preserve">Desviación sobre la media histórica</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Conexiones activas a PostgreSQL</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Punto único de falla</w:t>
            </w:r>
          </w:p>
        </w:tc>
        <w:tc>
          <w:tcPr>
            <w:tcW w:type="dxa" w:w="3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Por encima del 70 % del máximo</w:t>
            </w:r>
          </w:p>
        </w:tc>
      </w:tr>
    </w:tbl>
    <w:p>
      <w:pPr>
        <w:spacing w:after="160"/>
        <w:jc w:val="both"/>
      </w:pPr>
      <w:r>
        <w:t xml:space="preserve">Los endpoints de salud exigidos por la arquitectura obligatoria se implementan en el segundo parcial y consultarán estas mismas métricas.</w:t>
      </w:r>
    </w:p>
    <w:p>
      <w:pPr>
        <w:pStyle w:val="Heading1"/>
        <w:spacing w:after="160" w:before="320"/>
      </w:pPr>
      <w:r>
        <w:t xml:space="preserve">13. Riesgos y limitaciones declaradas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2480"/>
      </w:tblGrid>
      <w:tr>
        <w:trPr>
          <w:tblHeader/>
        </w:trPr>
        <w:tc>
          <w:tcPr>
            <w:tcW w:type="dxa" w:w="700"/>
            <w:shd w:fill="1F3864" w:val="clear"/>
            <w:tcMar>
              <w:top w:type="dxa" w:w="70"/>
              <w:left w:type="dxa" w:w="100"/>
              <w:bottom w:type="dxa" w:w="70"/>
              <w:right w:type="dxa" w:w="100"/>
            </w:tcMar>
            <w:vAlign w:val="center"/>
          </w:tcPr>
          <w:p>
            <w:pPr>
              <w:jc w:val="center"/>
            </w:pPr>
            <w:r>
              <w:rPr>
                <w:b/>
                <w:bCs/>
                <w:color w:val="FFFFFF"/>
                <w:sz w:val="17"/>
                <w:szCs w:val="17"/>
              </w:rPr>
              <w:t xml:space="preserve">#</w:t>
            </w:r>
          </w:p>
        </w:tc>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Riesgo</w:t>
            </w:r>
          </w:p>
        </w:tc>
        <w:tc>
          <w:tcPr>
            <w:tcW w:type="dxa" w:w="2500"/>
            <w:shd w:fill="1F3864" w:val="clear"/>
            <w:tcMar>
              <w:top w:type="dxa" w:w="70"/>
              <w:left w:type="dxa" w:w="100"/>
              <w:bottom w:type="dxa" w:w="70"/>
              <w:right w:type="dxa" w:w="100"/>
            </w:tcMar>
            <w:vAlign w:val="center"/>
          </w:tcPr>
          <w:p>
            <w:pPr>
              <w:jc w:val="center"/>
            </w:pPr>
            <w:r>
              <w:rPr>
                <w:b/>
                <w:bCs/>
                <w:color w:val="FFFFFF"/>
                <w:sz w:val="17"/>
                <w:szCs w:val="17"/>
              </w:rPr>
              <w:t xml:space="preserve">Impacto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Mitigación</w:t>
            </w:r>
          </w:p>
        </w:tc>
      </w:tr>
      <w:t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3400"/>
            <w:tcMar>
              <w:top w:type="dxa" w:w="70"/>
              <w:left w:type="dxa" w:w="100"/>
              <w:bottom w:type="dxa" w:w="70"/>
              <w:right w:type="dxa" w:w="100"/>
            </w:tcMar>
            <w:vAlign w:val="center"/>
          </w:tcPr>
          <w:p>
            <w:pPr>
              <w:jc w:val="center"/>
            </w:pPr>
            <w:r>
              <w:rPr>
                <w:b w:val="false"/>
                <w:bCs w:val="false"/>
                <w:color w:val="000000"/>
                <w:sz w:val="16"/>
                <w:szCs w:val="16"/>
              </w:rPr>
              <w:t xml:space="preserve">PostgreSQL es punto único de falla</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Caída total del servicio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Respaldo con recuperación a un punto en el tiempo y réplica de lectura en el segundo parcial</w:t>
            </w:r>
          </w:p>
        </w:tc>
      </w:tr>
      <w:t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2</w:t>
            </w:r>
          </w:p>
        </w:tc>
        <w:tc>
          <w:tcPr>
            <w:tcW w:type="dxa" w:w="3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presupuesto de privacidad es por campaña y unidad, no por consultante</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Varias cuentas podrían sumar consultas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Presupuesto por consultante, declarado como trabajo del segundo parcial</w:t>
            </w:r>
          </w:p>
        </w:tc>
      </w:tr>
      <w:t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3</w:t>
            </w:r>
          </w:p>
        </w:tc>
        <w:tc>
          <w:tcPr>
            <w:tcW w:type="dxa" w:w="3400"/>
            <w:tcMar>
              <w:top w:type="dxa" w:w="70"/>
              <w:left w:type="dxa" w:w="100"/>
              <w:bottom w:type="dxa" w:w="70"/>
              <w:right w:type="dxa" w:w="100"/>
            </w:tcMar>
            <w:vAlign w:val="center"/>
          </w:tcPr>
          <w:p>
            <w:pPr>
              <w:jc w:val="center"/>
            </w:pPr>
            <w:r>
              <w:rPr>
                <w:b w:val="false"/>
                <w:bCs w:val="false"/>
                <w:color w:val="000000"/>
                <w:sz w:val="16"/>
                <w:szCs w:val="16"/>
              </w:rPr>
              <w:t xml:space="preserve">La vista de consentimiento vigente escala con el total de colaboradores</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Degradación al crecer la organización</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Reescritura verificada en la sección 6.3, programada para el siguiente sprint</w:t>
            </w:r>
          </w:p>
        </w:tc>
      </w:tr>
      <w:t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4</w:t>
            </w:r>
          </w:p>
        </w:tc>
        <w:tc>
          <w:tcPr>
            <w:tcW w:type="dxa" w:w="3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Las mediciones no incluyen red ni capa de aplicación</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tiempo real percibido será mayor</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Repetir la medición extremo a extremo en staging</w:t>
            </w:r>
          </w:p>
        </w:tc>
      </w:tr>
      <w:t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5</w:t>
            </w:r>
          </w:p>
        </w:tc>
        <w:tc>
          <w:tcPr>
            <w:tcW w:type="dxa" w:w="3400"/>
            <w:tcMar>
              <w:top w:type="dxa" w:w="70"/>
              <w:left w:type="dxa" w:w="100"/>
              <w:bottom w:type="dxa" w:w="70"/>
              <w:right w:type="dxa" w:w="100"/>
            </w:tcMar>
            <w:vAlign w:val="center"/>
          </w:tcPr>
          <w:p>
            <w:pPr>
              <w:jc w:val="center"/>
            </w:pPr>
            <w:r>
              <w:rPr>
                <w:b w:val="false"/>
                <w:bCs w:val="false"/>
                <w:color w:val="000000"/>
                <w:sz w:val="16"/>
                <w:szCs w:val="16"/>
              </w:rPr>
              <w:t xml:space="preserve">La disponibilidad no se ha observado</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No hay evidencia del objetivo de 99 %</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Medirla cuando existan los ambientes de staging y producción</w:t>
            </w:r>
          </w:p>
        </w:tc>
      </w:tr>
      <w:t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6</w:t>
            </w:r>
          </w:p>
        </w:tc>
        <w:tc>
          <w:tcPr>
            <w:tcW w:type="dxa" w:w="3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No hay pruebas de carga ejecutadas</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comportamiento bajo carga real es una proyección</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Ejecutar el plan de la sección 11 en el tercer parcial</w:t>
            </w:r>
          </w:p>
        </w:tc>
      </w:tr>
    </w:tbl>
    <w:p>
      <w:pPr>
        <w:pStyle w:val="Heading1"/>
        <w:spacing w:after="160" w:before="320"/>
      </w:pPr>
      <w:r>
        <w:t xml:space="preserve">14. Conclusiones</w:t>
      </w:r>
    </w:p>
    <w:p>
      <w:pPr>
        <w:pStyle w:val="ListParagraph"/>
        <w:numPr>
          <w:ilvl w:val="0"/>
          <w:numId w:val="1"/>
        </w:numPr>
        <w:spacing w:after="80"/>
      </w:pPr>
      <w:r>
        <w:t xml:space="preserve">El sistema cumple con holgura los objetivos de latencia fijados: la operación más costosa, el agregado protegido de la unidad más grande, tarda 51.6 ms contra un objetivo de 300 ms.</w:t>
      </w:r>
    </w:p>
    <w:p>
      <w:pPr>
        <w:pStyle w:val="ListParagraph"/>
        <w:numPr>
          <w:ilvl w:val="0"/>
          <w:numId w:val="1"/>
        </w:numPr>
        <w:spacing w:after="80"/>
      </w:pPr>
      <w:r>
        <w:t xml:space="preserve">El almacenamiento no es una restricción: cuatro campañas con 1,161 colaboradores ocupan 12 MB, y diez años de historia se mantendrían por debajo de dos gigabytes.</w:t>
      </w:r>
    </w:p>
    <w:p>
      <w:pPr>
        <w:pStyle w:val="ListParagraph"/>
        <w:numPr>
          <w:ilvl w:val="0"/>
          <w:numId w:val="1"/>
        </w:numPr>
        <w:spacing w:after="80"/>
      </w:pPr>
      <w:r>
        <w:t xml:space="preserve">El presupuesto de privacidad actúa como limitador natural de carga, acotando por diseño el número de consultas costosas.</w:t>
      </w:r>
    </w:p>
    <w:p>
      <w:pPr>
        <w:pStyle w:val="ListParagraph"/>
        <w:numPr>
          <w:ilvl w:val="0"/>
          <w:numId w:val="1"/>
        </w:numPr>
        <w:spacing w:after="80"/>
      </w:pPr>
      <w:r>
        <w:t xml:space="preserve">La prueba de concurrencia reveló dos defectos reales en el control del presupuesto, ambos corregidos y verificados. El presupuesto ya no puede sobregirarse bajo carga simultánea.</w:t>
      </w:r>
    </w:p>
    <w:p>
      <w:pPr>
        <w:pStyle w:val="ListParagraph"/>
        <w:numPr>
          <w:ilvl w:val="0"/>
          <w:numId w:val="1"/>
        </w:numPr>
        <w:spacing w:after="80"/>
      </w:pPr>
      <w:r>
        <w:t xml:space="preserve">Se identificó el cuello de botella del camino crítico y se verificó una reescritura que reduce la latencia a menos de la mitad; también se documenta una optimización descartada por no aportar mejora.</w:t>
      </w:r>
    </w:p>
    <w:p>
      <w:pPr>
        <w:pStyle w:val="ListParagraph"/>
        <w:numPr>
          <w:ilvl w:val="0"/>
          <w:numId w:val="1"/>
        </w:numPr>
        <w:spacing w:after="80"/>
      </w:pPr>
      <w:r>
        <w:t xml:space="preserve">El riesgo principal que permanece abierto es que PostgreSQL constituye un punto único de falla, con mitigación programada para el segundo parcial.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Performance, Escalabilidad y Confiabilidad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7"/>
      <w:szCs w:val="27"/>
    </w:rPr>
  </w:style>
  <w:style w:type="paragraph" w:styleId="Heading2">
    <w:name w:val="Heading 2"/>
    <w:basedOn w:val="Normal"/>
    <w:next w:val="Normal"/>
    <w:qFormat/>
    <w:pPr>
      <w:spacing w:after="120" w:before="240"/>
      <w:outlineLvl w:val="1"/>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2026-09-30T02:32:43.796Z</dcterms:created>
  <dcterms:modified xsi:type="dcterms:W3CDTF">2026-09-30T02:32:43.808Z</dcterms:modified>
</cp:coreProperties>
</file>

<file path=docProps/custom.xml><?xml version="1.0" encoding="utf-8"?>
<Properties xmlns="http://schemas.openxmlformats.org/officeDocument/2006/custom-properties" xmlns:vt="http://schemas.openxmlformats.org/officeDocument/2006/docPropsVTypes"/>
</file>