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right"/>
      </w:pPr>
      <w:r>
        <w:rPr>
          <w:b/>
          <w:bCs/>
          <w:color w:val="1A1A1A"/>
          <w:sz w:val="44"/>
          <w:szCs w:val="44"/>
          <w:highlight w:val="yellow"/>
          <w:highlightCs w:val="yellow"/>
        </w:rPr>
        <w:t xml:space="preserve">  UDEM  </w:t>
      </w:r>
    </w:p>
    <w:p>
      <w:pPr>
        <w:spacing w:after="360"/>
      </w:pPr>
    </w:p>
    <w:p>
      <w:pPr>
        <w:spacing w:after="340"/>
        <w:jc w:val="center"/>
      </w:pPr>
      <w:r>
        <w:rPr>
          <w:b/>
          <w:bCs/>
          <w:sz w:val="26"/>
          <w:szCs w:val="26"/>
        </w:rPr>
        <w:t xml:space="preserve">UNIVERSIDAD DE MONTERREY</w:t>
      </w:r>
    </w:p>
    <w:p>
      <w:pPr>
        <w:spacing w:after="340"/>
        <w:jc w:val="center"/>
      </w:pPr>
      <w:r>
        <w:rPr>
          <w:b/>
          <w:bCs/>
          <w:sz w:val="24"/>
          <w:szCs w:val="24"/>
        </w:rPr>
        <w:t xml:space="preserve">Integración de aplicaciones computacionales</w:t>
      </w:r>
    </w:p>
    <w:p>
      <w:pPr>
        <w:spacing w:after="60"/>
        <w:jc w:val="center"/>
      </w:pPr>
      <w:r>
        <w:rPr>
          <w:b/>
          <w:bCs/>
          <w:sz w:val="24"/>
          <w:szCs w:val="24"/>
        </w:rPr>
        <w:t xml:space="preserve">Proyecto 4. Plataforma de Bienestar Laboral y Prevención de Burnout (EQUIPO 03)</w:t>
      </w:r>
    </w:p>
    <w:p>
      <w:pPr>
        <w:spacing w:after="520"/>
        <w:jc w:val="center"/>
      </w:pPr>
      <w:r>
        <w:rPr>
          <w:b/>
          <w:bCs/>
          <w:sz w:val="24"/>
          <w:szCs w:val="24"/>
        </w:rPr>
        <w:t xml:space="preserve">Requerimientos, Historias de Usuario y Reglas de Negocio</w:t>
      </w:r>
    </w:p>
    <w:p>
      <w:pPr>
        <w:spacing w:after="520"/>
      </w:pPr>
    </w:p>
    <w:p>
      <w:pPr>
        <w:spacing w:after="120"/>
      </w:pPr>
      <w:r>
        <w:rPr>
          <w:b/>
          <w:bCs/>
          <w:sz w:val="22"/>
          <w:szCs w:val="22"/>
        </w:rPr>
        <w:t xml:space="preserve">Integrantes:</w:t>
      </w:r>
    </w:p>
    <w:p>
      <w:pPr>
        <w:spacing w:after="60"/>
      </w:pPr>
      <w:r>
        <w:rPr>
          <w:sz w:val="22"/>
          <w:szCs w:val="22"/>
        </w:rPr>
        <w:t xml:space="preserve">Emiliano Pascual Piñales Sánchez #657657</w:t>
      </w:r>
    </w:p>
    <w:p>
      <w:pPr>
        <w:spacing w:after="60"/>
      </w:pPr>
      <w:r>
        <w:rPr>
          <w:sz w:val="22"/>
          <w:szCs w:val="22"/>
        </w:rPr>
        <w:t xml:space="preserve">Gerardo Quiroga Ramírez #650313</w:t>
      </w:r>
    </w:p>
    <w:p>
      <w:pPr>
        <w:spacing w:after="60"/>
      </w:pPr>
      <w:r>
        <w:rPr>
          <w:sz w:val="22"/>
          <w:szCs w:val="22"/>
        </w:rPr>
        <w:t xml:space="preserve">Ricardo Arath Sánchez Aguirre #583928</w:t>
      </w:r>
    </w:p>
    <w:p>
      <w:pPr>
        <w:spacing w:after="60"/>
      </w:pPr>
      <w:r>
        <w:rPr>
          <w:sz w:val="22"/>
          <w:szCs w:val="22"/>
        </w:rPr>
        <w:t xml:space="preserve">Juan Pablo Ramos Salazar #610248</w:t>
      </w:r>
    </w:p>
    <w:p>
      <w:pPr>
        <w:spacing w:after="400"/>
      </w:pPr>
    </w:p>
    <w:p>
      <w:pPr>
        <w:spacing w:after="200"/>
      </w:pPr>
      <w:r>
        <w:rPr>
          <w:b/>
          <w:bCs/>
          <w:sz w:val="22"/>
          <w:szCs w:val="22"/>
        </w:rPr>
        <w:t xml:space="preserve">“Damos nuestra palabra que hemos realizado esta actividad con integridad académica”</w:t>
      </w:r>
    </w:p>
    <w:p>
      <w:r>
        <w:br w:type="page"/>
      </w:r>
    </w:p>
    <w:p>
      <w:pPr>
        <w:pStyle w:val="Heading1"/>
        <w:spacing w:after="150" w:before="200"/>
      </w:pPr>
      <w:r>
        <w:t xml:space="preserve">Contenido</w:t>
      </w:r>
    </w:p>
    <w:p>
      <w:pPr>
        <w:spacing w:after="150"/>
      </w:pPr>
      <w:r>
        <w:rPr>
          <w:i/>
          <w:iCs/>
          <w:color w:val="808080"/>
          <w:sz w:val="18"/>
          <w:szCs w:val="18"/>
        </w:rPr>
        <w:t xml:space="preserve">Para actualizar el índice en Word: clic derecho sobre la tabla → Actualizar campos → Actualizar toda la tabla.</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t xml:space="preserve">1. Propósito del documento</w:t>
      </w:r>
    </w:p>
    <w:p>
      <w:pPr>
        <w:spacing w:after="160"/>
        <w:jc w:val="both"/>
      </w:pPr>
      <w:r>
        <w:t xml:space="preserve">Este documento cierra la primera semana del primer parcial: define los requerimientos funcionales y no funcionales, las historias de usuario con sus criterios de aceptación, las reglas de negocio y los casos de uso principales de la Plataforma de Bienestar Laboral y Prevención de Burnout.</w:t>
      </w:r>
    </w:p>
    <w:p>
      <w:pPr>
        <w:spacing w:after="160"/>
        <w:jc w:val="both"/>
      </w:pPr>
      <w:r>
        <w:t xml:space="preserve">Con este documento listo, el equipo queda desbloqueado para iniciar la semana 2: diagramas de arquitectura y modelado de PostgreSQL, MongoDB y Redis. En particular, Ricardo (sistema web y base de datos relacional) puede tomar las secciones 2 y 4 como entrada directa para el modelo conceptual de PostgreSQL.</w:t>
      </w:r>
    </w:p>
    <w:p>
      <w:pPr>
        <w:spacing w:after="160"/>
        <w:jc w:val="both"/>
      </w:pPr>
      <w:r>
        <w:t xml:space="preserve">Todo el contenido es consistente con el Documento de Análisis del Problema y Delimitación del Alcance (decisiones D-01 a D-09) y con la Matriz de Perfiles y Permisos (7 actores, niveles T/P/A) ya entregados.</w:t>
      </w:r>
    </w:p>
    <w:p>
      <w:pPr>
        <w:pStyle w:val="Heading1"/>
        <w:spacing w:after="160" w:before="320"/>
      </w:pPr>
      <w:r>
        <w:t xml:space="preserve">2. Requerimientos funcionales</w:t>
      </w:r>
    </w:p>
    <w:p>
      <w:pPr>
        <w:spacing w:after="160"/>
        <w:jc w:val="both"/>
      </w:pPr>
      <w:r>
        <w:t xml:space="preserve">Se listan clasificados por componente, tal como lo pide la guía de la materia. Los requerimientos del sistema web (RF-01 a RF-12) son los que se implementan en el producto mínimo funcional de este parcial. Los de microservicios y aplicaciones cliente (RF-13 a RF-15) quedan documentados a nivel de diseño para dar continuidad al segundo parcial, sin implementarse todavía.</w:t>
      </w:r>
    </w:p>
    <w:p>
      <w:pPr>
        <w:pStyle w:val="Heading2"/>
        <w:spacing w:after="120" w:before="240"/>
      </w:pPr>
      <w:r>
        <w:t xml:space="preserve">2.1 Sistema web (implementación en este parcial)</w:t>
      </w:r>
    </w:p>
    <w:tbl>
      <w:tblPr>
        <w:tblW w:type="dxa" w:w="8780"/>
        <w:tblBorders>
          <w:top w:val="single" w:color="auto" w:sz="4"/>
          <w:left w:val="single" w:color="auto" w:sz="4"/>
          <w:bottom w:val="single" w:color="auto" w:sz="4"/>
          <w:right w:val="single" w:color="auto" w:sz="4"/>
          <w:insideH w:val="single" w:color="auto" w:sz="4"/>
          <w:insideV w:val="single" w:color="auto" w:sz="4"/>
        </w:tblBorders>
      </w:tblPr>
      <w:tblGrid>
        <w:gridCol w:w="900"/>
        <w:gridCol w:w="5800"/>
        <w:gridCol w:w="2080"/>
      </w:tblGrid>
      <w:tr>
        <w:trPr>
          <w:tblHeader/>
        </w:trPr>
        <w:tc>
          <w:tcPr>
            <w:tcW w:type="dxa" w:w="900"/>
            <w:shd w:fill="1F3864" w:val="clear"/>
            <w:tcMar>
              <w:top w:type="dxa" w:w="80"/>
              <w:left w:type="dxa" w:w="100"/>
              <w:bottom w:type="dxa" w:w="80"/>
              <w:right w:type="dxa" w:w="100"/>
            </w:tcMar>
            <w:vAlign w:val="center"/>
          </w:tcPr>
          <w:p>
            <w:pPr>
              <w:jc w:val="center"/>
            </w:pPr>
            <w:r>
              <w:rPr>
                <w:b/>
                <w:bCs/>
                <w:color w:val="FFFFFF"/>
                <w:sz w:val="18"/>
                <w:szCs w:val="18"/>
              </w:rPr>
              <w:t xml:space="preserve">ID</w:t>
            </w:r>
          </w:p>
        </w:tc>
        <w:tc>
          <w:tcPr>
            <w:tcW w:type="dxa" w:w="5800"/>
            <w:shd w:fill="1F3864" w:val="clear"/>
            <w:tcMar>
              <w:top w:type="dxa" w:w="80"/>
              <w:left w:type="dxa" w:w="100"/>
              <w:bottom w:type="dxa" w:w="80"/>
              <w:right w:type="dxa" w:w="100"/>
            </w:tcMar>
            <w:vAlign w:val="center"/>
          </w:tcPr>
          <w:p>
            <w:pPr>
              <w:jc w:val="center"/>
            </w:pPr>
            <w:r>
              <w:rPr>
                <w:b/>
                <w:bCs/>
                <w:color w:val="FFFFFF"/>
                <w:sz w:val="18"/>
                <w:szCs w:val="18"/>
              </w:rPr>
              <w:t xml:space="preserve">Requerimiento</w:t>
            </w:r>
          </w:p>
        </w:tc>
        <w:tc>
          <w:tcPr>
            <w:tcW w:type="dxa" w:w="2080"/>
            <w:shd w:fill="1F3864" w:val="clear"/>
            <w:tcMar>
              <w:top w:type="dxa" w:w="80"/>
              <w:left w:type="dxa" w:w="100"/>
              <w:bottom w:type="dxa" w:w="80"/>
              <w:right w:type="dxa" w:w="100"/>
            </w:tcMar>
            <w:vAlign w:val="center"/>
          </w:tcPr>
          <w:p>
            <w:pPr>
              <w:jc w:val="center"/>
            </w:pPr>
            <w:r>
              <w:rPr>
                <w:b/>
                <w:bCs/>
                <w:color w:val="FFFFFF"/>
                <w:sz w:val="18"/>
                <w:szCs w:val="18"/>
              </w:rPr>
              <w:t xml:space="preserve">Actor(es)</w:t>
            </w:r>
          </w:p>
        </w:tc>
      </w:tr>
      <w:tr>
        <w:tc>
          <w:tcPr>
            <w:tcW w:type="dxa" w:w="900"/>
            <w:tcMar>
              <w:top w:type="dxa" w:w="80"/>
              <w:left w:type="dxa" w:w="100"/>
              <w:bottom w:type="dxa" w:w="80"/>
              <w:right w:type="dxa" w:w="100"/>
            </w:tcMar>
            <w:vAlign w:val="center"/>
          </w:tcPr>
          <w:p>
            <w:pPr>
              <w:jc w:val="left"/>
            </w:pPr>
            <w:r>
              <w:rPr>
                <w:b w:val="false"/>
                <w:bCs w:val="false"/>
                <w:color w:val="000000"/>
                <w:sz w:val="17"/>
                <w:szCs w:val="17"/>
              </w:rPr>
              <w:t xml:space="preserve">RF-01</w:t>
            </w:r>
          </w:p>
        </w:tc>
        <w:tc>
          <w:tcPr>
            <w:tcW w:type="dxa" w:w="5800"/>
            <w:tcMar>
              <w:top w:type="dxa" w:w="80"/>
              <w:left w:type="dxa" w:w="100"/>
              <w:bottom w:type="dxa" w:w="80"/>
              <w:right w:type="dxa" w:w="100"/>
            </w:tcMar>
            <w:vAlign w:val="center"/>
          </w:tcPr>
          <w:p>
            <w:pPr>
              <w:jc w:val="left"/>
            </w:pPr>
            <w:r>
              <w:rPr>
                <w:b w:val="false"/>
                <w:bCs w:val="false"/>
                <w:color w:val="000000"/>
                <w:sz w:val="17"/>
                <w:szCs w:val="17"/>
              </w:rPr>
              <w:t xml:space="preserve">El sistema debe permitir iniciar y cerrar sesión mediante JWT.</w:t>
            </w:r>
          </w:p>
        </w:tc>
        <w:tc>
          <w:tcPr>
            <w:tcW w:type="dxa" w:w="2080"/>
            <w:tcMar>
              <w:top w:type="dxa" w:w="80"/>
              <w:left w:type="dxa" w:w="100"/>
              <w:bottom w:type="dxa" w:w="80"/>
              <w:right w:type="dxa" w:w="100"/>
            </w:tcMar>
            <w:vAlign w:val="center"/>
          </w:tcPr>
          <w:p>
            <w:pPr>
              <w:jc w:val="left"/>
            </w:pPr>
            <w:r>
              <w:rPr>
                <w:b w:val="false"/>
                <w:bCs w:val="false"/>
                <w:color w:val="000000"/>
                <w:sz w:val="17"/>
                <w:szCs w:val="17"/>
              </w:rPr>
              <w:t xml:space="preserve">Todos</w:t>
            </w:r>
          </w:p>
        </w:tc>
      </w:tr>
      <w:tr>
        <w:tc>
          <w:tcPr>
            <w:tcW w:type="dxa" w:w="9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RF-02</w:t>
            </w:r>
          </w:p>
        </w:tc>
        <w:tc>
          <w:tcPr>
            <w:tcW w:type="dxa" w:w="58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El sistema debe mostrar un menú diferenciado según el perfil autenticado.</w:t>
            </w:r>
          </w:p>
        </w:tc>
        <w:tc>
          <w:tcPr>
            <w:tcW w:type="dxa" w:w="208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Todos</w:t>
            </w:r>
          </w:p>
        </w:tc>
      </w:tr>
      <w:tr>
        <w:tc>
          <w:tcPr>
            <w:tcW w:type="dxa" w:w="900"/>
            <w:tcMar>
              <w:top w:type="dxa" w:w="80"/>
              <w:left w:type="dxa" w:w="100"/>
              <w:bottom w:type="dxa" w:w="80"/>
              <w:right w:type="dxa" w:w="100"/>
            </w:tcMar>
            <w:vAlign w:val="center"/>
          </w:tcPr>
          <w:p>
            <w:pPr>
              <w:jc w:val="left"/>
            </w:pPr>
            <w:r>
              <w:rPr>
                <w:b w:val="false"/>
                <w:bCs w:val="false"/>
                <w:color w:val="000000"/>
                <w:sz w:val="17"/>
                <w:szCs w:val="17"/>
              </w:rPr>
              <w:t xml:space="preserve">RF-03</w:t>
            </w:r>
          </w:p>
        </w:tc>
        <w:tc>
          <w:tcPr>
            <w:tcW w:type="dxa" w:w="5800"/>
            <w:tcMar>
              <w:top w:type="dxa" w:w="80"/>
              <w:left w:type="dxa" w:w="100"/>
              <w:bottom w:type="dxa" w:w="80"/>
              <w:right w:type="dxa" w:w="100"/>
            </w:tcMar>
            <w:vAlign w:val="center"/>
          </w:tcPr>
          <w:p>
            <w:pPr>
              <w:jc w:val="left"/>
            </w:pPr>
            <w:r>
              <w:rPr>
                <w:b w:val="false"/>
                <w:bCs w:val="false"/>
                <w:color w:val="000000"/>
                <w:sz w:val="17"/>
                <w:szCs w:val="17"/>
              </w:rPr>
              <w:t xml:space="preserve">El sistema debe permitir administrar el catálogo de unidades organizacionales (áreas, turnos, tamaño de plantilla).</w:t>
            </w:r>
          </w:p>
        </w:tc>
        <w:tc>
          <w:tcPr>
            <w:tcW w:type="dxa" w:w="2080"/>
            <w:tcMar>
              <w:top w:type="dxa" w:w="80"/>
              <w:left w:type="dxa" w:w="100"/>
              <w:bottom w:type="dxa" w:w="80"/>
              <w:right w:type="dxa" w:w="100"/>
            </w:tcMar>
            <w:vAlign w:val="center"/>
          </w:tcPr>
          <w:p>
            <w:pPr>
              <w:jc w:val="left"/>
            </w:pPr>
            <w:r>
              <w:rPr>
                <w:b w:val="false"/>
                <w:bCs w:val="false"/>
                <w:color w:val="000000"/>
                <w:sz w:val="17"/>
                <w:szCs w:val="17"/>
              </w:rPr>
              <w:t xml:space="preserve">Esp. Bienestar, Admin. Sistema</w:t>
            </w:r>
          </w:p>
        </w:tc>
      </w:tr>
      <w:tr>
        <w:tc>
          <w:tcPr>
            <w:tcW w:type="dxa" w:w="9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RF-04</w:t>
            </w:r>
          </w:p>
        </w:tc>
        <w:tc>
          <w:tcPr>
            <w:tcW w:type="dxa" w:w="58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El sistema debe permitir administrar el catálogo de instrumentos y reactivos (versiones, escalas).</w:t>
            </w:r>
          </w:p>
        </w:tc>
        <w:tc>
          <w:tcPr>
            <w:tcW w:type="dxa" w:w="208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Esp. Bienestar, Admin. Sistema</w:t>
            </w:r>
          </w:p>
        </w:tc>
      </w:tr>
      <w:tr>
        <w:tc>
          <w:tcPr>
            <w:tcW w:type="dxa" w:w="900"/>
            <w:tcMar>
              <w:top w:type="dxa" w:w="80"/>
              <w:left w:type="dxa" w:w="100"/>
              <w:bottom w:type="dxa" w:w="80"/>
              <w:right w:type="dxa" w:w="100"/>
            </w:tcMar>
            <w:vAlign w:val="center"/>
          </w:tcPr>
          <w:p>
            <w:pPr>
              <w:jc w:val="left"/>
            </w:pPr>
            <w:r>
              <w:rPr>
                <w:b w:val="false"/>
                <w:bCs w:val="false"/>
                <w:color w:val="000000"/>
                <w:sz w:val="17"/>
                <w:szCs w:val="17"/>
              </w:rPr>
              <w:t xml:space="preserve">RF-05</w:t>
            </w:r>
          </w:p>
        </w:tc>
        <w:tc>
          <w:tcPr>
            <w:tcW w:type="dxa" w:w="5800"/>
            <w:tcMar>
              <w:top w:type="dxa" w:w="80"/>
              <w:left w:type="dxa" w:w="100"/>
              <w:bottom w:type="dxa" w:w="80"/>
              <w:right w:type="dxa" w:w="100"/>
            </w:tcMar>
            <w:vAlign w:val="center"/>
          </w:tcPr>
          <w:p>
            <w:pPr>
              <w:jc w:val="left"/>
            </w:pPr>
            <w:r>
              <w:rPr>
                <w:b w:val="false"/>
                <w:bCs w:val="false"/>
                <w:color w:val="000000"/>
                <w:sz w:val="17"/>
                <w:szCs w:val="17"/>
              </w:rPr>
              <w:t xml:space="preserve">El sistema debe permitir a un Colaborador otorgar o revocar su consentimiento, conservando el historial de versiones.</w:t>
            </w:r>
          </w:p>
        </w:tc>
        <w:tc>
          <w:tcPr>
            <w:tcW w:type="dxa" w:w="2080"/>
            <w:tcMar>
              <w:top w:type="dxa" w:w="80"/>
              <w:left w:type="dxa" w:w="100"/>
              <w:bottom w:type="dxa" w:w="80"/>
              <w:right w:type="dxa" w:w="100"/>
            </w:tcMar>
            <w:vAlign w:val="center"/>
          </w:tcPr>
          <w:p>
            <w:pPr>
              <w:jc w:val="left"/>
            </w:pPr>
            <w:r>
              <w:rPr>
                <w:b w:val="false"/>
                <w:bCs w:val="false"/>
                <w:color w:val="000000"/>
                <w:sz w:val="17"/>
                <w:szCs w:val="17"/>
              </w:rPr>
              <w:t xml:space="preserve">Colaborador</w:t>
            </w:r>
          </w:p>
        </w:tc>
      </w:tr>
      <w:tr>
        <w:tc>
          <w:tcPr>
            <w:tcW w:type="dxa" w:w="9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RF-06</w:t>
            </w:r>
          </w:p>
        </w:tc>
        <w:tc>
          <w:tcPr>
            <w:tcW w:type="dxa" w:w="58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El sistema debe permitir a un Colaborador con consentimiento vigente responder la encuesta de bienestar.</w:t>
            </w:r>
          </w:p>
        </w:tc>
        <w:tc>
          <w:tcPr>
            <w:tcW w:type="dxa" w:w="208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Colaborador</w:t>
            </w:r>
          </w:p>
        </w:tc>
      </w:tr>
      <w:tr>
        <w:tc>
          <w:tcPr>
            <w:tcW w:type="dxa" w:w="900"/>
            <w:tcMar>
              <w:top w:type="dxa" w:w="80"/>
              <w:left w:type="dxa" w:w="100"/>
              <w:bottom w:type="dxa" w:w="80"/>
              <w:right w:type="dxa" w:w="100"/>
            </w:tcMar>
            <w:vAlign w:val="center"/>
          </w:tcPr>
          <w:p>
            <w:pPr>
              <w:jc w:val="left"/>
            </w:pPr>
            <w:r>
              <w:rPr>
                <w:b w:val="false"/>
                <w:bCs w:val="false"/>
                <w:color w:val="000000"/>
                <w:sz w:val="17"/>
                <w:szCs w:val="17"/>
              </w:rPr>
              <w:t xml:space="preserve">RF-07</w:t>
            </w:r>
          </w:p>
        </w:tc>
        <w:tc>
          <w:tcPr>
            <w:tcW w:type="dxa" w:w="5800"/>
            <w:tcMar>
              <w:top w:type="dxa" w:w="80"/>
              <w:left w:type="dxa" w:w="100"/>
              <w:bottom w:type="dxa" w:w="80"/>
              <w:right w:type="dxa" w:w="100"/>
            </w:tcMar>
            <w:vAlign w:val="center"/>
          </w:tcPr>
          <w:p>
            <w:pPr>
              <w:jc w:val="left"/>
            </w:pPr>
            <w:r>
              <w:rPr>
                <w:b w:val="false"/>
                <w:bCs w:val="false"/>
                <w:color w:val="000000"/>
                <w:sz w:val="17"/>
                <w:szCs w:val="17"/>
              </w:rPr>
              <w:t xml:space="preserve">El sistema debe calcular y mostrar resultados agregados por unidad organizacional aplicando el mecanismo de privacidad diferencial: verifica el umbral k = 5, añade ruido de Laplace calibrado a la sensibilidad de la consulta y descuenta el presupuesto de épsilon de esa unidad y campaña.</w:t>
            </w:r>
          </w:p>
        </w:tc>
        <w:tc>
          <w:tcPr>
            <w:tcW w:type="dxa" w:w="2080"/>
            <w:tcMar>
              <w:top w:type="dxa" w:w="80"/>
              <w:left w:type="dxa" w:w="100"/>
              <w:bottom w:type="dxa" w:w="80"/>
              <w:right w:type="dxa" w:w="100"/>
            </w:tcMar>
            <w:vAlign w:val="center"/>
          </w:tcPr>
          <w:p>
            <w:pPr>
              <w:jc w:val="left"/>
            </w:pPr>
            <w:r>
              <w:rPr>
                <w:b w:val="false"/>
                <w:bCs w:val="false"/>
                <w:color w:val="000000"/>
                <w:sz w:val="17"/>
                <w:szCs w:val="17"/>
              </w:rPr>
              <w:t xml:space="preserve">Líder de unidad, Esp. Bienestar, Auditor</w:t>
            </w:r>
          </w:p>
        </w:tc>
      </w:tr>
      <w:tr>
        <w:tc>
          <w:tcPr>
            <w:tcW w:type="dxa" w:w="9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RF-08</w:t>
            </w:r>
          </w:p>
        </w:tc>
        <w:tc>
          <w:tcPr>
            <w:tcW w:type="dxa" w:w="58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El sistema debe calcular y mostrar resultados agregados a nivel institucional bajo el mismo mecanismo de protección, con su propio presupuesto de privacidad.</w:t>
            </w:r>
          </w:p>
        </w:tc>
        <w:tc>
          <w:tcPr>
            <w:tcW w:type="dxa" w:w="208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Esp. Bienestar, Auditor de cumplimiento</w:t>
            </w:r>
          </w:p>
        </w:tc>
      </w:tr>
      <w:tr>
        <w:tc>
          <w:tcPr>
            <w:tcW w:type="dxa" w:w="900"/>
            <w:tcMar>
              <w:top w:type="dxa" w:w="80"/>
              <w:left w:type="dxa" w:w="100"/>
              <w:bottom w:type="dxa" w:w="80"/>
              <w:right w:type="dxa" w:w="100"/>
            </w:tcMar>
            <w:vAlign w:val="center"/>
          </w:tcPr>
          <w:p>
            <w:pPr>
              <w:jc w:val="left"/>
            </w:pPr>
            <w:r>
              <w:rPr>
                <w:b w:val="false"/>
                <w:bCs w:val="false"/>
                <w:color w:val="000000"/>
                <w:sz w:val="17"/>
                <w:szCs w:val="17"/>
              </w:rPr>
              <w:t xml:space="preserve">RF-09</w:t>
            </w:r>
          </w:p>
        </w:tc>
        <w:tc>
          <w:tcPr>
            <w:tcW w:type="dxa" w:w="5800"/>
            <w:tcMar>
              <w:top w:type="dxa" w:w="80"/>
              <w:left w:type="dxa" w:w="100"/>
              <w:bottom w:type="dxa" w:w="80"/>
              <w:right w:type="dxa" w:w="100"/>
            </w:tcMar>
            <w:vAlign w:val="center"/>
          </w:tcPr>
          <w:p>
            <w:pPr>
              <w:jc w:val="left"/>
            </w:pPr>
            <w:r>
              <w:rPr>
                <w:b w:val="false"/>
                <w:bCs w:val="false"/>
                <w:color w:val="000000"/>
                <w:sz w:val="17"/>
                <w:szCs w:val="17"/>
              </w:rPr>
              <w:t xml:space="preserve">El sistema debe registrar en bitácora de auditoría cada acceso a datos de consentimiento o a reportes agregados.</w:t>
            </w:r>
          </w:p>
        </w:tc>
        <w:tc>
          <w:tcPr>
            <w:tcW w:type="dxa" w:w="2080"/>
            <w:tcMar>
              <w:top w:type="dxa" w:w="80"/>
              <w:left w:type="dxa" w:w="100"/>
              <w:bottom w:type="dxa" w:w="80"/>
              <w:right w:type="dxa" w:w="100"/>
            </w:tcMar>
            <w:vAlign w:val="center"/>
          </w:tcPr>
          <w:p>
            <w:pPr>
              <w:jc w:val="left"/>
            </w:pPr>
            <w:r>
              <w:rPr>
                <w:b w:val="false"/>
                <w:bCs w:val="false"/>
                <w:color w:val="000000"/>
                <w:sz w:val="17"/>
                <w:szCs w:val="17"/>
              </w:rPr>
              <w:t xml:space="preserve">Auditor</w:t>
            </w:r>
          </w:p>
        </w:tc>
      </w:tr>
      <w:tr>
        <w:tc>
          <w:tcPr>
            <w:tcW w:type="dxa" w:w="9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RF-10</w:t>
            </w:r>
          </w:p>
        </w:tc>
        <w:tc>
          <w:tcPr>
            <w:tcW w:type="dxa" w:w="58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El sistema debe permitir al Administrador dar de alta usuarios y asignar un perfil.</w:t>
            </w:r>
          </w:p>
        </w:tc>
        <w:tc>
          <w:tcPr>
            <w:tcW w:type="dxa" w:w="208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Admin. Sistema</w:t>
            </w:r>
          </w:p>
        </w:tc>
      </w:tr>
      <w:tr>
        <w:tc>
          <w:tcPr>
            <w:tcW w:type="dxa" w:w="900"/>
            <w:tcMar>
              <w:top w:type="dxa" w:w="80"/>
              <w:left w:type="dxa" w:w="100"/>
              <w:bottom w:type="dxa" w:w="80"/>
              <w:right w:type="dxa" w:w="100"/>
            </w:tcMar>
            <w:vAlign w:val="center"/>
          </w:tcPr>
          <w:p>
            <w:pPr>
              <w:jc w:val="left"/>
            </w:pPr>
            <w:r>
              <w:rPr>
                <w:b w:val="false"/>
                <w:bCs w:val="false"/>
                <w:color w:val="000000"/>
                <w:sz w:val="17"/>
                <w:szCs w:val="17"/>
              </w:rPr>
              <w:t xml:space="preserve">RF-11</w:t>
            </w:r>
          </w:p>
        </w:tc>
        <w:tc>
          <w:tcPr>
            <w:tcW w:type="dxa" w:w="5800"/>
            <w:tcMar>
              <w:top w:type="dxa" w:w="80"/>
              <w:left w:type="dxa" w:w="100"/>
              <w:bottom w:type="dxa" w:w="80"/>
              <w:right w:type="dxa" w:w="100"/>
            </w:tcMar>
            <w:vAlign w:val="center"/>
          </w:tcPr>
          <w:p>
            <w:pPr>
              <w:jc w:val="left"/>
            </w:pPr>
            <w:r>
              <w:rPr>
                <w:b w:val="false"/>
                <w:bCs w:val="false"/>
                <w:color w:val="000000"/>
                <w:sz w:val="17"/>
                <w:szCs w:val="17"/>
              </w:rPr>
              <w:t xml:space="preserve">El sistema debe permitir al Administrador parametrizar el valor del umbral mínimo k.</w:t>
            </w:r>
          </w:p>
        </w:tc>
        <w:tc>
          <w:tcPr>
            <w:tcW w:type="dxa" w:w="2080"/>
            <w:tcMar>
              <w:top w:type="dxa" w:w="80"/>
              <w:left w:type="dxa" w:w="100"/>
              <w:bottom w:type="dxa" w:w="80"/>
              <w:right w:type="dxa" w:w="100"/>
            </w:tcMar>
            <w:vAlign w:val="center"/>
          </w:tcPr>
          <w:p>
            <w:pPr>
              <w:jc w:val="left"/>
            </w:pPr>
            <w:r>
              <w:rPr>
                <w:b w:val="false"/>
                <w:bCs w:val="false"/>
                <w:color w:val="000000"/>
                <w:sz w:val="17"/>
                <w:szCs w:val="17"/>
              </w:rPr>
              <w:t xml:space="preserve">Admin. Sistema</w:t>
            </w:r>
          </w:p>
        </w:tc>
      </w:tr>
      <w:tr>
        <w:tc>
          <w:tcPr>
            <w:tcW w:type="dxa" w:w="9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RF-12</w:t>
            </w:r>
          </w:p>
        </w:tc>
        <w:tc>
          <w:tcPr>
            <w:tcW w:type="dxa" w:w="58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El sistema debe presentar un panel principal con indicadores resumidos según el perfil.</w:t>
            </w:r>
          </w:p>
        </w:tc>
        <w:tc>
          <w:tcPr>
            <w:tcW w:type="dxa" w:w="208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Todos</w:t>
            </w:r>
          </w:p>
        </w:tc>
      </w:tr>
    </w:tbl>
    <w:p>
      <w:pPr>
        <w:spacing w:after="160"/>
      </w:pPr>
    </w:p>
    <w:p>
      <w:pPr>
        <w:pStyle w:val="Heading2"/>
        <w:spacing w:after="120" w:before="240"/>
      </w:pPr>
      <w:r>
        <w:t xml:space="preserve">2.2 Microservicios, app móvil y app de escritorio (solo diseño en este parcial)</w:t>
      </w:r>
    </w:p>
    <w:tbl>
      <w:tblPr>
        <w:tblW w:type="dxa" w:w="8780"/>
        <w:tblBorders>
          <w:top w:val="single" w:color="auto" w:sz="4"/>
          <w:left w:val="single" w:color="auto" w:sz="4"/>
          <w:bottom w:val="single" w:color="auto" w:sz="4"/>
          <w:right w:val="single" w:color="auto" w:sz="4"/>
          <w:insideH w:val="single" w:color="auto" w:sz="4"/>
          <w:insideV w:val="single" w:color="auto" w:sz="4"/>
        </w:tblBorders>
      </w:tblPr>
      <w:tblGrid>
        <w:gridCol w:w="900"/>
        <w:gridCol w:w="5800"/>
        <w:gridCol w:w="2080"/>
      </w:tblGrid>
      <w:tr>
        <w:trPr>
          <w:tblHeader/>
        </w:trPr>
        <w:tc>
          <w:tcPr>
            <w:tcW w:type="dxa" w:w="900"/>
            <w:shd w:fill="1F3864" w:val="clear"/>
            <w:tcMar>
              <w:top w:type="dxa" w:w="80"/>
              <w:left w:type="dxa" w:w="100"/>
              <w:bottom w:type="dxa" w:w="80"/>
              <w:right w:type="dxa" w:w="100"/>
            </w:tcMar>
            <w:vAlign w:val="center"/>
          </w:tcPr>
          <w:p>
            <w:pPr>
              <w:jc w:val="center"/>
            </w:pPr>
            <w:r>
              <w:rPr>
                <w:b/>
                <w:bCs/>
                <w:color w:val="FFFFFF"/>
                <w:sz w:val="18"/>
                <w:szCs w:val="18"/>
              </w:rPr>
              <w:t xml:space="preserve">ID</w:t>
            </w:r>
          </w:p>
        </w:tc>
        <w:tc>
          <w:tcPr>
            <w:tcW w:type="dxa" w:w="5800"/>
            <w:shd w:fill="1F3864" w:val="clear"/>
            <w:tcMar>
              <w:top w:type="dxa" w:w="80"/>
              <w:left w:type="dxa" w:w="100"/>
              <w:bottom w:type="dxa" w:w="80"/>
              <w:right w:type="dxa" w:w="100"/>
            </w:tcMar>
            <w:vAlign w:val="center"/>
          </w:tcPr>
          <w:p>
            <w:pPr>
              <w:jc w:val="center"/>
            </w:pPr>
            <w:r>
              <w:rPr>
                <w:b/>
                <w:bCs/>
                <w:color w:val="FFFFFF"/>
                <w:sz w:val="18"/>
                <w:szCs w:val="18"/>
              </w:rPr>
              <w:t xml:space="preserve">Requerimiento</w:t>
            </w:r>
          </w:p>
        </w:tc>
        <w:tc>
          <w:tcPr>
            <w:tcW w:type="dxa" w:w="2080"/>
            <w:shd w:fill="1F3864" w:val="clear"/>
            <w:tcMar>
              <w:top w:type="dxa" w:w="80"/>
              <w:left w:type="dxa" w:w="100"/>
              <w:bottom w:type="dxa" w:w="80"/>
              <w:right w:type="dxa" w:w="100"/>
            </w:tcMar>
            <w:vAlign w:val="center"/>
          </w:tcPr>
          <w:p>
            <w:pPr>
              <w:jc w:val="center"/>
            </w:pPr>
            <w:r>
              <w:rPr>
                <w:b/>
                <w:bCs/>
                <w:color w:val="FFFFFF"/>
                <w:sz w:val="18"/>
                <w:szCs w:val="18"/>
              </w:rPr>
              <w:t xml:space="preserve">Actor(es)</w:t>
            </w:r>
          </w:p>
        </w:tc>
      </w:tr>
      <w:tr>
        <w:tc>
          <w:tcPr>
            <w:tcW w:type="dxa" w:w="900"/>
            <w:tcMar>
              <w:top w:type="dxa" w:w="80"/>
              <w:left w:type="dxa" w:w="100"/>
              <w:bottom w:type="dxa" w:w="80"/>
              <w:right w:type="dxa" w:w="100"/>
            </w:tcMar>
            <w:vAlign w:val="center"/>
          </w:tcPr>
          <w:p>
            <w:pPr>
              <w:jc w:val="left"/>
            </w:pPr>
            <w:r>
              <w:rPr>
                <w:b w:val="false"/>
                <w:bCs w:val="false"/>
                <w:color w:val="000000"/>
                <w:sz w:val="17"/>
                <w:szCs w:val="17"/>
              </w:rPr>
              <w:t xml:space="preserve">RF-13</w:t>
            </w:r>
          </w:p>
        </w:tc>
        <w:tc>
          <w:tcPr>
            <w:tcW w:type="dxa" w:w="5800"/>
            <w:tcMar>
              <w:top w:type="dxa" w:w="80"/>
              <w:left w:type="dxa" w:w="100"/>
              <w:bottom w:type="dxa" w:w="80"/>
              <w:right w:type="dxa" w:w="100"/>
            </w:tcMar>
            <w:vAlign w:val="center"/>
          </w:tcPr>
          <w:p>
            <w:pPr>
              <w:jc w:val="left"/>
            </w:pPr>
            <w:r>
              <w:rPr>
                <w:b w:val="false"/>
                <w:bCs w:val="false"/>
                <w:color w:val="000000"/>
                <w:sz w:val="17"/>
                <w:szCs w:val="17"/>
              </w:rPr>
              <w:t xml:space="preserve">(Diseño, implementación en parcial 2) El módulo de microservicios debe exponer el proceso de encuesta y consentimiento en JSON y XML.</w:t>
            </w:r>
          </w:p>
        </w:tc>
        <w:tc>
          <w:tcPr>
            <w:tcW w:type="dxa" w:w="2080"/>
            <w:tcMar>
              <w:top w:type="dxa" w:w="80"/>
              <w:left w:type="dxa" w:w="100"/>
              <w:bottom w:type="dxa" w:w="80"/>
              <w:right w:type="dxa" w:w="100"/>
            </w:tcMar>
            <w:vAlign w:val="center"/>
          </w:tcPr>
          <w:p>
            <w:pPr>
              <w:jc w:val="left"/>
            </w:pPr>
            <w:r>
              <w:rPr>
                <w:b w:val="false"/>
                <w:bCs w:val="false"/>
                <w:color w:val="000000"/>
                <w:sz w:val="17"/>
                <w:szCs w:val="17"/>
              </w:rPr>
              <w:t xml:space="preserve">—</w:t>
            </w:r>
          </w:p>
        </w:tc>
      </w:tr>
      <w:tr>
        <w:tc>
          <w:tcPr>
            <w:tcW w:type="dxa" w:w="9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RF-14</w:t>
            </w:r>
          </w:p>
        </w:tc>
        <w:tc>
          <w:tcPr>
            <w:tcW w:type="dxa" w:w="58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(Diseño, implementación en parcial 2) La aplicación Android debe permitir consentir, responder encuesta y consultar tendencias personales, consumiendo solo JSON.</w:t>
            </w:r>
          </w:p>
        </w:tc>
        <w:tc>
          <w:tcPr>
            <w:tcW w:type="dxa" w:w="208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Colaborador</w:t>
            </w:r>
          </w:p>
        </w:tc>
      </w:tr>
      <w:tr>
        <w:tc>
          <w:tcPr>
            <w:tcW w:type="dxa" w:w="900"/>
            <w:tcMar>
              <w:top w:type="dxa" w:w="80"/>
              <w:left w:type="dxa" w:w="100"/>
              <w:bottom w:type="dxa" w:w="80"/>
              <w:right w:type="dxa" w:w="100"/>
            </w:tcMar>
            <w:vAlign w:val="center"/>
          </w:tcPr>
          <w:p>
            <w:pPr>
              <w:jc w:val="left"/>
            </w:pPr>
            <w:r>
              <w:rPr>
                <w:b w:val="false"/>
                <w:bCs w:val="false"/>
                <w:color w:val="000000"/>
                <w:sz w:val="17"/>
                <w:szCs w:val="17"/>
              </w:rPr>
              <w:t xml:space="preserve">RF-15</w:t>
            </w:r>
          </w:p>
        </w:tc>
        <w:tc>
          <w:tcPr>
            <w:tcW w:type="dxa" w:w="5800"/>
            <w:tcMar>
              <w:top w:type="dxa" w:w="80"/>
              <w:left w:type="dxa" w:w="100"/>
              <w:bottom w:type="dxa" w:w="80"/>
              <w:right w:type="dxa" w:w="100"/>
            </w:tcMar>
            <w:vAlign w:val="center"/>
          </w:tcPr>
          <w:p>
            <w:pPr>
              <w:jc w:val="left"/>
            </w:pPr>
            <w:r>
              <w:rPr>
                <w:b w:val="false"/>
                <w:bCs w:val="false"/>
                <w:color w:val="000000"/>
                <w:sz w:val="17"/>
                <w:szCs w:val="17"/>
              </w:rPr>
              <w:t xml:space="preserve">(Diseño, implementación en parcial 2) La aplicación de escritorio debe permitir configurar instrumentos y consultar métricas agregadas, consumiendo solo XML.</w:t>
            </w:r>
          </w:p>
        </w:tc>
        <w:tc>
          <w:tcPr>
            <w:tcW w:type="dxa" w:w="2080"/>
            <w:tcMar>
              <w:top w:type="dxa" w:w="80"/>
              <w:left w:type="dxa" w:w="100"/>
              <w:bottom w:type="dxa" w:w="80"/>
              <w:right w:type="dxa" w:w="100"/>
            </w:tcMar>
            <w:vAlign w:val="center"/>
          </w:tcPr>
          <w:p>
            <w:pPr>
              <w:jc w:val="left"/>
            </w:pPr>
            <w:r>
              <w:rPr>
                <w:b w:val="false"/>
                <w:bCs w:val="false"/>
                <w:color w:val="000000"/>
                <w:sz w:val="17"/>
                <w:szCs w:val="17"/>
              </w:rPr>
              <w:t xml:space="preserve">Esp. Bienestar</w:t>
            </w:r>
          </w:p>
        </w:tc>
      </w:tr>
    </w:tbl>
    <w:p>
      <w:pPr>
        <w:pStyle w:val="Heading1"/>
        <w:spacing w:after="160" w:before="320"/>
      </w:pPr>
      <w:r>
        <w:t xml:space="preserve">3. Requerimientos no funcionales</w:t>
      </w:r>
    </w:p>
    <w:tbl>
      <w:tblPr>
        <w:tblW w:type="dxa" w:w="878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6080"/>
      </w:tblGrid>
      <w:tr>
        <w:trPr>
          <w:tblHeader/>
        </w:trPr>
        <w:tc>
          <w:tcPr>
            <w:tcW w:type="dxa" w:w="900"/>
            <w:shd w:fill="1F3864" w:val="clear"/>
            <w:tcMar>
              <w:top w:type="dxa" w:w="80"/>
              <w:left w:type="dxa" w:w="100"/>
              <w:bottom w:type="dxa" w:w="80"/>
              <w:right w:type="dxa" w:w="100"/>
            </w:tcMar>
            <w:vAlign w:val="center"/>
          </w:tcPr>
          <w:p>
            <w:pPr>
              <w:jc w:val="center"/>
            </w:pPr>
            <w:r>
              <w:rPr>
                <w:b/>
                <w:bCs/>
                <w:color w:val="FFFFFF"/>
                <w:sz w:val="18"/>
                <w:szCs w:val="18"/>
              </w:rPr>
              <w:t xml:space="preserve">ID</w:t>
            </w:r>
          </w:p>
        </w:tc>
        <w:tc>
          <w:tcPr>
            <w:tcW w:type="dxa" w:w="1800"/>
            <w:shd w:fill="1F3864" w:val="clear"/>
            <w:tcMar>
              <w:top w:type="dxa" w:w="80"/>
              <w:left w:type="dxa" w:w="100"/>
              <w:bottom w:type="dxa" w:w="80"/>
              <w:right w:type="dxa" w:w="100"/>
            </w:tcMar>
            <w:vAlign w:val="center"/>
          </w:tcPr>
          <w:p>
            <w:pPr>
              <w:jc w:val="center"/>
            </w:pPr>
            <w:r>
              <w:rPr>
                <w:b/>
                <w:bCs/>
                <w:color w:val="FFFFFF"/>
                <w:sz w:val="18"/>
                <w:szCs w:val="18"/>
              </w:rPr>
              <w:t xml:space="preserve">Categoría</w:t>
            </w:r>
          </w:p>
        </w:tc>
        <w:tc>
          <w:tcPr>
            <w:tcW w:type="dxa" w:w="6080"/>
            <w:shd w:fill="1F3864" w:val="clear"/>
            <w:tcMar>
              <w:top w:type="dxa" w:w="80"/>
              <w:left w:type="dxa" w:w="100"/>
              <w:bottom w:type="dxa" w:w="80"/>
              <w:right w:type="dxa" w:w="100"/>
            </w:tcMar>
            <w:vAlign w:val="center"/>
          </w:tcPr>
          <w:p>
            <w:pPr>
              <w:jc w:val="center"/>
            </w:pPr>
            <w:r>
              <w:rPr>
                <w:b/>
                <w:bCs/>
                <w:color w:val="FFFFFF"/>
                <w:sz w:val="18"/>
                <w:szCs w:val="18"/>
              </w:rPr>
              <w:t xml:space="preserve">Descripción</w:t>
            </w:r>
          </w:p>
        </w:tc>
      </w:tr>
      <w:tr>
        <w:tc>
          <w:tcPr>
            <w:tcW w:type="dxa" w:w="900"/>
            <w:tcMar>
              <w:top w:type="dxa" w:w="80"/>
              <w:left w:type="dxa" w:w="100"/>
              <w:bottom w:type="dxa" w:w="80"/>
              <w:right w:type="dxa" w:w="100"/>
            </w:tcMar>
            <w:vAlign w:val="center"/>
          </w:tcPr>
          <w:p>
            <w:pPr>
              <w:jc w:val="left"/>
            </w:pPr>
            <w:r>
              <w:rPr>
                <w:b w:val="false"/>
                <w:bCs w:val="false"/>
                <w:color w:val="000000"/>
                <w:sz w:val="17"/>
                <w:szCs w:val="17"/>
              </w:rPr>
              <w:t xml:space="preserve">RNF-01</w:t>
            </w:r>
          </w:p>
        </w:tc>
        <w:tc>
          <w:tcPr>
            <w:tcW w:type="dxa" w:w="1800"/>
            <w:tcMar>
              <w:top w:type="dxa" w:w="80"/>
              <w:left w:type="dxa" w:w="100"/>
              <w:bottom w:type="dxa" w:w="80"/>
              <w:right w:type="dxa" w:w="100"/>
            </w:tcMar>
            <w:vAlign w:val="center"/>
          </w:tcPr>
          <w:p>
            <w:pPr>
              <w:jc w:val="left"/>
            </w:pPr>
            <w:r>
              <w:rPr>
                <w:b w:val="false"/>
                <w:bCs w:val="false"/>
                <w:color w:val="000000"/>
                <w:sz w:val="17"/>
                <w:szCs w:val="17"/>
              </w:rPr>
              <w:t xml:space="preserve">Seguridad</w:t>
            </w:r>
          </w:p>
        </w:tc>
        <w:tc>
          <w:tcPr>
            <w:tcW w:type="dxa" w:w="6080"/>
            <w:tcMar>
              <w:top w:type="dxa" w:w="80"/>
              <w:left w:type="dxa" w:w="100"/>
              <w:bottom w:type="dxa" w:w="80"/>
              <w:right w:type="dxa" w:w="100"/>
            </w:tcMar>
            <w:vAlign w:val="center"/>
          </w:tcPr>
          <w:p>
            <w:pPr>
              <w:jc w:val="left"/>
            </w:pPr>
            <w:r>
              <w:rPr>
                <w:b w:val="false"/>
                <w:bCs w:val="false"/>
                <w:color w:val="000000"/>
                <w:sz w:val="17"/>
                <w:szCs w:val="17"/>
              </w:rPr>
              <w:t xml:space="preserve">Las contraseñas se almacenan con hash seguro (bcrypt o equivalente); ningún dato de identidad viaja junto con respuestas de encuesta en la misma consulta (deriva de D-01).</w:t>
            </w:r>
          </w:p>
        </w:tc>
      </w:tr>
      <w:tr>
        <w:tc>
          <w:tcPr>
            <w:tcW w:type="dxa" w:w="9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RNF-02</w:t>
            </w:r>
          </w:p>
        </w:tc>
        <w:tc>
          <w:tcPr>
            <w:tcW w:type="dxa" w:w="18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Privacidad</w:t>
            </w:r>
          </w:p>
        </w:tc>
        <w:tc>
          <w:tcPr>
            <w:tcW w:type="dxa" w:w="608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Ninguna consulta agregada regresa un resultado con menos de k = 5 registros, y todo resultado que sí se publica lleva ruido de Laplace y consume presupuesto de épsilon. El umbral por sí solo no sería privacidad diferencial: evita publicar grupos pequeños, pero no impide reconstruir una respuesta comparando consultas sucesivas (deriva de D-03 y D-07).</w:t>
            </w:r>
          </w:p>
        </w:tc>
      </w:tr>
      <w:tr>
        <w:tc>
          <w:tcPr>
            <w:tcW w:type="dxa" w:w="900"/>
            <w:tcMar>
              <w:top w:type="dxa" w:w="80"/>
              <w:left w:type="dxa" w:w="100"/>
              <w:bottom w:type="dxa" w:w="80"/>
              <w:right w:type="dxa" w:w="100"/>
            </w:tcMar>
            <w:vAlign w:val="center"/>
          </w:tcPr>
          <w:p>
            <w:pPr>
              <w:jc w:val="left"/>
            </w:pPr>
            <w:r>
              <w:rPr>
                <w:b w:val="false"/>
                <w:bCs w:val="false"/>
                <w:color w:val="000000"/>
                <w:sz w:val="17"/>
                <w:szCs w:val="17"/>
              </w:rPr>
              <w:t xml:space="preserve">RNF-03</w:t>
            </w:r>
          </w:p>
        </w:tc>
        <w:tc>
          <w:tcPr>
            <w:tcW w:type="dxa" w:w="1800"/>
            <w:tcMar>
              <w:top w:type="dxa" w:w="80"/>
              <w:left w:type="dxa" w:w="100"/>
              <w:bottom w:type="dxa" w:w="80"/>
              <w:right w:type="dxa" w:w="100"/>
            </w:tcMar>
            <w:vAlign w:val="center"/>
          </w:tcPr>
          <w:p>
            <w:pPr>
              <w:jc w:val="left"/>
            </w:pPr>
            <w:r>
              <w:rPr>
                <w:b w:val="false"/>
                <w:bCs w:val="false"/>
                <w:color w:val="000000"/>
                <w:sz w:val="17"/>
                <w:szCs w:val="17"/>
              </w:rPr>
              <w:t xml:space="preserve">Disponibilidad</w:t>
            </w:r>
          </w:p>
        </w:tc>
        <w:tc>
          <w:tcPr>
            <w:tcW w:type="dxa" w:w="6080"/>
            <w:tcMar>
              <w:top w:type="dxa" w:w="80"/>
              <w:left w:type="dxa" w:w="100"/>
              <w:bottom w:type="dxa" w:w="80"/>
              <w:right w:type="dxa" w:w="100"/>
            </w:tcMar>
            <w:vAlign w:val="center"/>
          </w:tcPr>
          <w:p>
            <w:pPr>
              <w:jc w:val="left"/>
            </w:pPr>
            <w:r>
              <w:rPr>
                <w:b w:val="false"/>
                <w:bCs w:val="false"/>
                <w:color w:val="000000"/>
                <w:sz w:val="17"/>
                <w:szCs w:val="17"/>
              </w:rPr>
              <w:t xml:space="preserve">El sistema web debe operar de forma independiente, sin depender de que microservicios, app móvil o app de escritorio estén disponibles.</w:t>
            </w:r>
          </w:p>
        </w:tc>
      </w:tr>
      <w:tr>
        <w:tc>
          <w:tcPr>
            <w:tcW w:type="dxa" w:w="9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RNF-04</w:t>
            </w:r>
          </w:p>
        </w:tc>
        <w:tc>
          <w:tcPr>
            <w:tcW w:type="dxa" w:w="18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Usabilidad</w:t>
            </w:r>
          </w:p>
        </w:tc>
        <w:tc>
          <w:tcPr>
            <w:tcW w:type="dxa" w:w="608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La interfaz debe ser responsive y utilizable desde equipos de cómputo de las áreas operativas de Nexum.</w:t>
            </w:r>
          </w:p>
        </w:tc>
      </w:tr>
      <w:tr>
        <w:tc>
          <w:tcPr>
            <w:tcW w:type="dxa" w:w="900"/>
            <w:tcMar>
              <w:top w:type="dxa" w:w="80"/>
              <w:left w:type="dxa" w:w="100"/>
              <w:bottom w:type="dxa" w:w="80"/>
              <w:right w:type="dxa" w:w="100"/>
            </w:tcMar>
            <w:vAlign w:val="center"/>
          </w:tcPr>
          <w:p>
            <w:pPr>
              <w:jc w:val="left"/>
            </w:pPr>
            <w:r>
              <w:rPr>
                <w:b w:val="false"/>
                <w:bCs w:val="false"/>
                <w:color w:val="000000"/>
                <w:sz w:val="17"/>
                <w:szCs w:val="17"/>
              </w:rPr>
              <w:t xml:space="preserve">RNF-05</w:t>
            </w:r>
          </w:p>
        </w:tc>
        <w:tc>
          <w:tcPr>
            <w:tcW w:type="dxa" w:w="1800"/>
            <w:tcMar>
              <w:top w:type="dxa" w:w="80"/>
              <w:left w:type="dxa" w:w="100"/>
              <w:bottom w:type="dxa" w:w="80"/>
              <w:right w:type="dxa" w:w="100"/>
            </w:tcMar>
            <w:vAlign w:val="center"/>
          </w:tcPr>
          <w:p>
            <w:pPr>
              <w:jc w:val="left"/>
            </w:pPr>
            <w:r>
              <w:rPr>
                <w:b w:val="false"/>
                <w:bCs w:val="false"/>
                <w:color w:val="000000"/>
                <w:sz w:val="17"/>
                <w:szCs w:val="17"/>
              </w:rPr>
              <w:t xml:space="preserve">Desempeño</w:t>
            </w:r>
          </w:p>
        </w:tc>
        <w:tc>
          <w:tcPr>
            <w:tcW w:type="dxa" w:w="6080"/>
            <w:tcMar>
              <w:top w:type="dxa" w:w="80"/>
              <w:left w:type="dxa" w:w="100"/>
              <w:bottom w:type="dxa" w:w="80"/>
              <w:right w:type="dxa" w:w="100"/>
            </w:tcMar>
            <w:vAlign w:val="center"/>
          </w:tcPr>
          <w:p>
            <w:pPr>
              <w:jc w:val="left"/>
            </w:pPr>
            <w:r>
              <w:rPr>
                <w:b w:val="false"/>
                <w:bCs w:val="false"/>
                <w:color w:val="000000"/>
                <w:sz w:val="17"/>
                <w:szCs w:val="17"/>
              </w:rPr>
              <w:t xml:space="preserve">Las operaciones de catálogo y de registro de respuesta deben responder en menos de 2 segundos bajo condiciones normales de prueba local.</w:t>
            </w:r>
          </w:p>
        </w:tc>
      </w:tr>
      <w:tr>
        <w:tc>
          <w:tcPr>
            <w:tcW w:type="dxa" w:w="9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RNF-06</w:t>
            </w:r>
          </w:p>
        </w:tc>
        <w:tc>
          <w:tcPr>
            <w:tcW w:type="dxa" w:w="18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Portabilidad</w:t>
            </w:r>
          </w:p>
        </w:tc>
        <w:tc>
          <w:tcPr>
            <w:tcW w:type="dxa" w:w="608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El sistema y sus dependencias (PostgreSQL, MongoDB, Redis) deben poder levantarse con un solo comando de Docker Compose.</w:t>
            </w:r>
          </w:p>
        </w:tc>
      </w:tr>
      <w:tr>
        <w:tc>
          <w:tcPr>
            <w:tcW w:type="dxa" w:w="900"/>
            <w:tcMar>
              <w:top w:type="dxa" w:w="80"/>
              <w:left w:type="dxa" w:w="100"/>
              <w:bottom w:type="dxa" w:w="80"/>
              <w:right w:type="dxa" w:w="100"/>
            </w:tcMar>
            <w:vAlign w:val="center"/>
          </w:tcPr>
          <w:p>
            <w:pPr>
              <w:jc w:val="left"/>
            </w:pPr>
            <w:r>
              <w:rPr>
                <w:b w:val="false"/>
                <w:bCs w:val="false"/>
                <w:color w:val="000000"/>
                <w:sz w:val="17"/>
                <w:szCs w:val="17"/>
              </w:rPr>
              <w:t xml:space="preserve">RNF-07</w:t>
            </w:r>
          </w:p>
        </w:tc>
        <w:tc>
          <w:tcPr>
            <w:tcW w:type="dxa" w:w="1800"/>
            <w:tcMar>
              <w:top w:type="dxa" w:w="80"/>
              <w:left w:type="dxa" w:w="100"/>
              <w:bottom w:type="dxa" w:w="80"/>
              <w:right w:type="dxa" w:w="100"/>
            </w:tcMar>
            <w:vAlign w:val="center"/>
          </w:tcPr>
          <w:p>
            <w:pPr>
              <w:jc w:val="left"/>
            </w:pPr>
            <w:r>
              <w:rPr>
                <w:b w:val="false"/>
                <w:bCs w:val="false"/>
                <w:color w:val="000000"/>
                <w:sz w:val="17"/>
                <w:szCs w:val="17"/>
              </w:rPr>
              <w:t xml:space="preserve">Auditabilidad</w:t>
            </w:r>
          </w:p>
        </w:tc>
        <w:tc>
          <w:tcPr>
            <w:tcW w:type="dxa" w:w="6080"/>
            <w:tcMar>
              <w:top w:type="dxa" w:w="80"/>
              <w:left w:type="dxa" w:w="100"/>
              <w:bottom w:type="dxa" w:w="80"/>
              <w:right w:type="dxa" w:w="100"/>
            </w:tcMar>
            <w:vAlign w:val="center"/>
          </w:tcPr>
          <w:p>
            <w:pPr>
              <w:jc w:val="left"/>
            </w:pPr>
            <w:r>
              <w:rPr>
                <w:b w:val="false"/>
                <w:bCs w:val="false"/>
                <w:color w:val="000000"/>
                <w:sz w:val="17"/>
                <w:szCs w:val="17"/>
              </w:rPr>
              <w:t xml:space="preserve">Toda acción sensible (consentimiento, acceso a agregados, cambio de umbral) debe quedar registrada con actor, acción, recurso y marca de tiempo.</w:t>
            </w:r>
          </w:p>
        </w:tc>
      </w:tr>
      <w:tr>
        <w:tc>
          <w:tcPr>
            <w:tcW w:type="dxa" w:w="9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RNF-08</w:t>
            </w:r>
          </w:p>
        </w:tc>
        <w:tc>
          <w:tcPr>
            <w:tcW w:type="dxa" w:w="18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Cumplimiento normativo</w:t>
            </w:r>
          </w:p>
        </w:tc>
        <w:tc>
          <w:tcPr>
            <w:tcW w:type="dxa" w:w="608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El diseño y el aviso de privacidad deben ser consistentes con NOM-035-STPS-2018 y la LFPDPPP vigente desde marzo de 2025.</w:t>
            </w:r>
          </w:p>
        </w:tc>
      </w:tr>
      <w:tr>
        <w:tc>
          <w:tcPr>
            <w:tcW w:type="dxa" w:w="900"/>
            <w:tcMar>
              <w:top w:type="dxa" w:w="80"/>
              <w:left w:type="dxa" w:w="100"/>
              <w:bottom w:type="dxa" w:w="80"/>
              <w:right w:type="dxa" w:w="100"/>
            </w:tcMar>
            <w:vAlign w:val="center"/>
          </w:tcPr>
          <w:p>
            <w:pPr>
              <w:jc w:val="left"/>
            </w:pPr>
            <w:r>
              <w:rPr>
                <w:b w:val="false"/>
                <w:bCs w:val="false"/>
                <w:color w:val="000000"/>
                <w:sz w:val="17"/>
                <w:szCs w:val="17"/>
              </w:rPr>
              <w:t xml:space="preserve">RNF-09</w:t>
            </w:r>
          </w:p>
        </w:tc>
        <w:tc>
          <w:tcPr>
            <w:tcW w:type="dxa" w:w="1800"/>
            <w:tcMar>
              <w:top w:type="dxa" w:w="80"/>
              <w:left w:type="dxa" w:w="100"/>
              <w:bottom w:type="dxa" w:w="80"/>
              <w:right w:type="dxa" w:w="100"/>
            </w:tcMar>
            <w:vAlign w:val="center"/>
          </w:tcPr>
          <w:p>
            <w:pPr>
              <w:jc w:val="left"/>
            </w:pPr>
            <w:r>
              <w:rPr>
                <w:b w:val="false"/>
                <w:bCs w:val="false"/>
                <w:color w:val="000000"/>
                <w:sz w:val="17"/>
                <w:szCs w:val="17"/>
              </w:rPr>
              <w:t xml:space="preserve">Mantenibilidad</w:t>
            </w:r>
          </w:p>
        </w:tc>
        <w:tc>
          <w:tcPr>
            <w:tcW w:type="dxa" w:w="6080"/>
            <w:tcMar>
              <w:top w:type="dxa" w:w="80"/>
              <w:left w:type="dxa" w:w="100"/>
              <w:bottom w:type="dxa" w:w="80"/>
              <w:right w:type="dxa" w:w="100"/>
            </w:tcMar>
            <w:vAlign w:val="center"/>
          </w:tcPr>
          <w:p>
            <w:pPr>
              <w:jc w:val="left"/>
            </w:pPr>
            <w:r>
              <w:rPr>
                <w:b w:val="false"/>
                <w:bCs w:val="false"/>
                <w:color w:val="000000"/>
                <w:sz w:val="17"/>
                <w:szCs w:val="17"/>
              </w:rPr>
              <w:t xml:space="preserve">El código del sistema web debe seguir una convención de nombres y estructura de carpetas documentada en el repositorio.</w:t>
            </w:r>
          </w:p>
        </w:tc>
      </w:tr>
      <w:tr>
        <w:tc>
          <w:tcPr>
            <w:tcW w:type="dxa" w:w="9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RNF-10</w:t>
            </w:r>
          </w:p>
        </w:tc>
        <w:tc>
          <w:tcPr>
            <w:tcW w:type="dxa" w:w="18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Idioma y localización</w:t>
            </w:r>
          </w:p>
        </w:tc>
        <w:tc>
          <w:tcPr>
            <w:tcW w:type="dxa" w:w="608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La interfaz y los mensajes del sistema se presentan en español (es-MX).</w:t>
            </w:r>
          </w:p>
        </w:tc>
      </w:tr>
    </w:tbl>
    <w:p>
      <w:pPr>
        <w:pStyle w:val="Heading1"/>
        <w:spacing w:after="160" w:before="320"/>
      </w:pPr>
      <w:r>
        <w:t xml:space="preserve">4. Historias de usuario y criterios de aceptación</w:t>
      </w:r>
    </w:p>
    <w:p>
      <w:pPr>
        <w:spacing w:after="160"/>
        <w:jc w:val="both"/>
      </w:pPr>
      <w:r>
        <w:t xml:space="preserve">Se presenta una historia representativa por actor; el equipo puede desglosarlas en historias más pequeñas durante el sprint sin cambiar el criterio de aceptación de fondo.</w:t>
      </w:r>
    </w:p>
    <w:p>
      <w:pPr>
        <w:pStyle w:val="Heading2"/>
        <w:spacing w:after="120" w:before="240"/>
      </w:pPr>
      <w:r>
        <w:t xml:space="preserve">HU-01 — Colaborador</w:t>
      </w:r>
    </w:p>
    <w:p>
      <w:pPr>
        <w:spacing w:after="160"/>
        <w:jc w:val="both"/>
      </w:pPr>
      <w:r>
        <w:t xml:space="preserve">Como Colaborador, quiero otorgar o revocar mi consentimiento cuando yo decida, para tener control real sobre mi participación.</w:t>
      </w:r>
    </w:p>
    <w:p>
      <w:pPr>
        <w:spacing w:after="80"/>
      </w:pPr>
      <w:r>
        <w:rPr>
          <w:b/>
          <w:bCs/>
        </w:rPr>
        <w:t xml:space="preserve">Criterios de aceptación:</w:t>
      </w:r>
    </w:p>
    <w:p>
      <w:pPr>
        <w:pStyle w:val="ListParagraph"/>
        <w:numPr>
          <w:ilvl w:val="0"/>
          <w:numId w:val="1"/>
        </w:numPr>
        <w:spacing w:after="80"/>
      </w:pPr>
      <w:r>
        <w:t xml:space="preserve">Puedo ver el estado actual de mi consentimiento (vigente / revocado) y su fecha.</w:t>
      </w:r>
    </w:p>
    <w:p>
      <w:pPr>
        <w:pStyle w:val="ListParagraph"/>
        <w:numPr>
          <w:ilvl w:val="0"/>
          <w:numId w:val="1"/>
        </w:numPr>
        <w:spacing w:after="80"/>
      </w:pPr>
      <w:r>
        <w:t xml:space="preserve">Al revocar, el sistema conserva la versión anterior en el historial, no la borra.</w:t>
      </w:r>
    </w:p>
    <w:p>
      <w:pPr>
        <w:pStyle w:val="ListParagraph"/>
        <w:numPr>
          <w:ilvl w:val="0"/>
          <w:numId w:val="1"/>
        </w:numPr>
        <w:spacing w:after="80"/>
      </w:pPr>
      <w:r>
        <w:t xml:space="preserve">No puedo responder la encuesta si no tengo consentimiento vigente.</w:t>
      </w:r>
    </w:p>
    <w:p>
      <w:pPr>
        <w:pStyle w:val="Heading2"/>
        <w:spacing w:after="120" w:before="240"/>
      </w:pPr>
      <w:r>
        <w:t xml:space="preserve">HU-02 — Colaborador</w:t>
      </w:r>
    </w:p>
    <w:p>
      <w:pPr>
        <w:spacing w:after="160"/>
        <w:jc w:val="both"/>
      </w:pPr>
      <w:r>
        <w:t xml:space="preserve">Como Colaborador, quiero responder la encuesta de bienestar sin que mi jefe directo pueda identificarme como autor de una respuesta, para participar sin temor a represalias.</w:t>
      </w:r>
    </w:p>
    <w:p>
      <w:pPr>
        <w:spacing w:after="80"/>
      </w:pPr>
      <w:r>
        <w:rPr>
          <w:b/>
          <w:bCs/>
        </w:rPr>
        <w:t xml:space="preserve">Criterios de aceptación:</w:t>
      </w:r>
    </w:p>
    <w:p>
      <w:pPr>
        <w:pStyle w:val="ListParagraph"/>
        <w:numPr>
          <w:ilvl w:val="0"/>
          <w:numId w:val="1"/>
        </w:numPr>
        <w:spacing w:after="80"/>
      </w:pPr>
      <w:r>
        <w:t xml:space="preserve">El sistema me muestra el instrumento vigente según mi unidad organizacional.</w:t>
      </w:r>
    </w:p>
    <w:p>
      <w:pPr>
        <w:pStyle w:val="ListParagraph"/>
        <w:numPr>
          <w:ilvl w:val="0"/>
          <w:numId w:val="1"/>
        </w:numPr>
        <w:spacing w:after="80"/>
      </w:pPr>
      <w:r>
        <w:t xml:space="preserve">Mi identidad se almacena separada de mis respuestas mediante un seudónimo (D-01).</w:t>
      </w:r>
    </w:p>
    <w:p>
      <w:pPr>
        <w:pStyle w:val="ListParagraph"/>
        <w:numPr>
          <w:ilvl w:val="0"/>
          <w:numId w:val="1"/>
        </w:numPr>
        <w:spacing w:after="80"/>
      </w:pPr>
      <w:r>
        <w:t xml:space="preserve">Al terminar, recibo una confirmación de envío, no un resumen de mis respuestas visible a otros.</w:t>
      </w:r>
    </w:p>
    <w:p>
      <w:pPr>
        <w:pStyle w:val="Heading2"/>
        <w:spacing w:after="120" w:before="240"/>
      </w:pPr>
      <w:r>
        <w:t xml:space="preserve">HU-03 — Líder de unidad</w:t>
      </w:r>
    </w:p>
    <w:p>
      <w:pPr>
        <w:spacing w:after="160"/>
        <w:jc w:val="both"/>
      </w:pPr>
      <w:r>
        <w:t xml:space="preserve">Como Líder de unidad, quiero ver el resultado agregado de mi equipo, para identificar señales de riesgo sin ver quién respondió qué.</w:t>
      </w:r>
    </w:p>
    <w:p>
      <w:pPr>
        <w:spacing w:after="80"/>
      </w:pPr>
      <w:r>
        <w:rPr>
          <w:b/>
          <w:bCs/>
        </w:rPr>
        <w:t xml:space="preserve">Criterios de aceptación:</w:t>
      </w:r>
    </w:p>
    <w:p>
      <w:pPr>
        <w:pStyle w:val="ListParagraph"/>
        <w:numPr>
          <w:ilvl w:val="0"/>
          <w:numId w:val="1"/>
        </w:numPr>
        <w:spacing w:after="80"/>
      </w:pPr>
      <w:r>
        <w:t xml:space="preserve">Si mi unidad tiene menos de 5 respuestas, el sistema muestra un aviso de 'grupo insuficiente', no un valor parcial.</w:t>
      </w:r>
    </w:p>
    <w:p>
      <w:pPr>
        <w:pStyle w:val="ListParagraph"/>
        <w:numPr>
          <w:ilvl w:val="0"/>
          <w:numId w:val="1"/>
        </w:numPr>
        <w:spacing w:after="80"/>
      </w:pPr>
      <w:r>
        <w:t xml:space="preserve">El reporte no incluye ningún identificador de persona.</w:t>
      </w:r>
    </w:p>
    <w:p>
      <w:pPr>
        <w:pStyle w:val="Heading2"/>
        <w:spacing w:after="120" w:before="240"/>
      </w:pPr>
      <w:r>
        <w:t xml:space="preserve">HU-04 — Especialista de Bienestar</w:t>
      </w:r>
    </w:p>
    <w:p>
      <w:pPr>
        <w:spacing w:after="160"/>
        <w:jc w:val="both"/>
      </w:pPr>
      <w:r>
        <w:t xml:space="preserve">Como Especialista de Bienestar, quiero administrar el catálogo de instrumentos y reactivos, para mantener actualizadas las encuestas que se aplican.</w:t>
      </w:r>
    </w:p>
    <w:p>
      <w:pPr>
        <w:spacing w:after="80"/>
      </w:pPr>
      <w:r>
        <w:rPr>
          <w:b/>
          <w:bCs/>
        </w:rPr>
        <w:t xml:space="preserve">Criterios de aceptación:</w:t>
      </w:r>
    </w:p>
    <w:p>
      <w:pPr>
        <w:pStyle w:val="ListParagraph"/>
        <w:numPr>
          <w:ilvl w:val="0"/>
          <w:numId w:val="1"/>
        </w:numPr>
        <w:spacing w:after="80"/>
      </w:pPr>
      <w:r>
        <w:t xml:space="preserve">Puedo crear una nueva versión de un instrumento sin eliminar las versiones anteriores ya respondidas.</w:t>
      </w:r>
    </w:p>
    <w:p>
      <w:pPr>
        <w:pStyle w:val="ListParagraph"/>
        <w:numPr>
          <w:ilvl w:val="0"/>
          <w:numId w:val="1"/>
        </w:numPr>
        <w:spacing w:after="80"/>
      </w:pPr>
      <w:r>
        <w:t xml:space="preserve">El sistema impide publicar un instrumento sin al menos un reactivo.</w:t>
      </w:r>
    </w:p>
    <w:p>
      <w:pPr>
        <w:pStyle w:val="Heading2"/>
        <w:spacing w:after="120" w:before="240"/>
      </w:pPr>
      <w:r>
        <w:t xml:space="preserve">HU-05 — Administrador del Sistema</w:t>
      </w:r>
    </w:p>
    <w:p>
      <w:pPr>
        <w:spacing w:after="160"/>
        <w:jc w:val="both"/>
      </w:pPr>
      <w:r>
        <w:t xml:space="preserve">Como Administrador del Sistema, quiero asignar perfiles a los usuarios nuevos, para que cada quien acceda solo a lo que le corresponde.</w:t>
      </w:r>
    </w:p>
    <w:p>
      <w:pPr>
        <w:spacing w:after="80"/>
      </w:pPr>
      <w:r>
        <w:rPr>
          <w:b/>
          <w:bCs/>
        </w:rPr>
        <w:t xml:space="preserve">Criterios de aceptación:</w:t>
      </w:r>
    </w:p>
    <w:p>
      <w:pPr>
        <w:pStyle w:val="ListParagraph"/>
        <w:numPr>
          <w:ilvl w:val="0"/>
          <w:numId w:val="1"/>
        </w:numPr>
        <w:spacing w:after="80"/>
      </w:pPr>
      <w:r>
        <w:t xml:space="preserve">Un usuario solo puede tener un perfil activo a la vez en este parcial.</w:t>
      </w:r>
    </w:p>
    <w:p>
      <w:pPr>
        <w:pStyle w:val="ListParagraph"/>
        <w:numPr>
          <w:ilvl w:val="0"/>
          <w:numId w:val="1"/>
        </w:numPr>
        <w:spacing w:after="80"/>
      </w:pPr>
      <w:r>
        <w:t xml:space="preserve">El cambio de perfil queda registrado en la bitácora de auditoría.</w:t>
      </w:r>
    </w:p>
    <w:p>
      <w:pPr>
        <w:pStyle w:val="Heading2"/>
        <w:spacing w:after="120" w:before="240"/>
      </w:pPr>
      <w:r>
        <w:t xml:space="preserve">HU-06 — Auditor de Cumplimiento</w:t>
      </w:r>
    </w:p>
    <w:p>
      <w:pPr>
        <w:spacing w:after="160"/>
        <w:jc w:val="both"/>
      </w:pPr>
      <w:r>
        <w:t xml:space="preserve">Como Auditor, quiero consultar la bitácora de accesos a consentimiento y a reportes agregados, para verificar que se respetan las reglas de acceso.</w:t>
      </w:r>
    </w:p>
    <w:p>
      <w:pPr>
        <w:spacing w:after="80"/>
      </w:pPr>
      <w:r>
        <w:rPr>
          <w:b/>
          <w:bCs/>
        </w:rPr>
        <w:t xml:space="preserve">Criterios de aceptación:</w:t>
      </w:r>
    </w:p>
    <w:p>
      <w:pPr>
        <w:pStyle w:val="ListParagraph"/>
        <w:numPr>
          <w:ilvl w:val="0"/>
          <w:numId w:val="1"/>
        </w:numPr>
        <w:spacing w:after="80"/>
      </w:pPr>
      <w:r>
        <w:t xml:space="preserve">Puedo filtrar la bitácora por rango de fechas y tipo de acción.</w:t>
      </w:r>
    </w:p>
    <w:p>
      <w:pPr>
        <w:pStyle w:val="ListParagraph"/>
        <w:numPr>
          <w:ilvl w:val="0"/>
          <w:numId w:val="1"/>
        </w:numPr>
        <w:spacing w:after="80"/>
      </w:pPr>
      <w:r>
        <w:t xml:space="preserve">No puedo ver el contenido de las respuestas de la encuesta desde ninguna pantalla.</w:t>
      </w:r>
    </w:p>
    <w:p>
      <w:pPr>
        <w:pStyle w:val="Heading2"/>
        <w:spacing w:after="120" w:before="240"/>
      </w:pPr>
      <w:r>
        <w:t xml:space="preserve">HU-07 — Dirección General</w:t>
      </w:r>
    </w:p>
    <w:p>
      <w:pPr>
        <w:spacing w:after="160"/>
        <w:jc w:val="both"/>
      </w:pPr>
      <w:r>
        <w:t xml:space="preserve">Como Dirección General, quiero ver un panel con la tasa de participación institucional, para dar seguimiento estratégico al programa de bienestar.</w:t>
      </w:r>
    </w:p>
    <w:p>
      <w:pPr>
        <w:spacing w:after="80"/>
      </w:pPr>
      <w:r>
        <w:rPr>
          <w:b/>
          <w:bCs/>
        </w:rPr>
        <w:t xml:space="preserve">Criterios de aceptación:</w:t>
      </w:r>
    </w:p>
    <w:p>
      <w:pPr>
        <w:pStyle w:val="ListParagraph"/>
        <w:numPr>
          <w:ilvl w:val="0"/>
          <w:numId w:val="1"/>
        </w:numPr>
        <w:spacing w:after="80"/>
      </w:pPr>
      <w:r>
        <w:t xml:space="preserve">El panel solo muestra cifras agregadas protegidas: cumplieron el umbral k y llevan ruido aplicado.</w:t>
      </w:r>
    </w:p>
    <w:p>
      <w:pPr>
        <w:pStyle w:val="ListParagraph"/>
        <w:numPr>
          <w:ilvl w:val="0"/>
          <w:numId w:val="1"/>
        </w:numPr>
        <w:spacing w:after="80"/>
      </w:pPr>
      <w:r>
        <w:t xml:space="preserve">Puedo comparar la tasa de participación entre periodos, no entre personas.</w:t>
      </w:r>
    </w:p>
    <w:p>
      <w:pPr>
        <w:pStyle w:val="Heading1"/>
        <w:spacing w:after="160" w:before="320"/>
      </w:pPr>
      <w:r>
        <w:t xml:space="preserve">5. Reglas de negocio</w:t>
      </w:r>
    </w:p>
    <w:tbl>
      <w:tblPr>
        <w:tblW w:type="dxa" w:w="8780"/>
        <w:tblBorders>
          <w:top w:val="single" w:color="auto" w:sz="4"/>
          <w:left w:val="single" w:color="auto" w:sz="4"/>
          <w:bottom w:val="single" w:color="auto" w:sz="4"/>
          <w:right w:val="single" w:color="auto" w:sz="4"/>
          <w:insideH w:val="single" w:color="auto" w:sz="4"/>
          <w:insideV w:val="single" w:color="auto" w:sz="4"/>
        </w:tblBorders>
      </w:tblPr>
      <w:tblGrid>
        <w:gridCol w:w="1100"/>
        <w:gridCol w:w="7680"/>
      </w:tblGrid>
      <w:tr>
        <w:trPr>
          <w:tblHeader/>
        </w:trPr>
        <w:tc>
          <w:tcPr>
            <w:tcW w:type="dxa" w:w="1100"/>
            <w:shd w:fill="1F3864" w:val="clear"/>
            <w:tcMar>
              <w:top w:type="dxa" w:w="80"/>
              <w:left w:type="dxa" w:w="100"/>
              <w:bottom w:type="dxa" w:w="80"/>
              <w:right w:type="dxa" w:w="100"/>
            </w:tcMar>
            <w:vAlign w:val="center"/>
          </w:tcPr>
          <w:p>
            <w:pPr>
              <w:jc w:val="center"/>
            </w:pPr>
            <w:r>
              <w:rPr>
                <w:b/>
                <w:bCs/>
                <w:color w:val="FFFFFF"/>
                <w:sz w:val="18"/>
                <w:szCs w:val="18"/>
              </w:rPr>
              <w:t xml:space="preserve">ID</w:t>
            </w:r>
          </w:p>
        </w:tc>
        <w:tc>
          <w:tcPr>
            <w:tcW w:type="dxa" w:w="7680"/>
            <w:shd w:fill="1F3864" w:val="clear"/>
            <w:tcMar>
              <w:top w:type="dxa" w:w="80"/>
              <w:left w:type="dxa" w:w="100"/>
              <w:bottom w:type="dxa" w:w="80"/>
              <w:right w:type="dxa" w:w="100"/>
            </w:tcMar>
            <w:vAlign w:val="center"/>
          </w:tcPr>
          <w:p>
            <w:pPr>
              <w:jc w:val="center"/>
            </w:pPr>
            <w:r>
              <w:rPr>
                <w:b/>
                <w:bCs/>
                <w:color w:val="FFFFFF"/>
                <w:sz w:val="18"/>
                <w:szCs w:val="18"/>
              </w:rPr>
              <w:t xml:space="preserve">Regla</w:t>
            </w:r>
          </w:p>
        </w:tc>
      </w:tr>
      <w:tr>
        <w:tc>
          <w:tcPr>
            <w:tcW w:type="dxa" w:w="1100"/>
            <w:tcMar>
              <w:top w:type="dxa" w:w="80"/>
              <w:left w:type="dxa" w:w="100"/>
              <w:bottom w:type="dxa" w:w="80"/>
              <w:right w:type="dxa" w:w="100"/>
            </w:tcMar>
            <w:vAlign w:val="center"/>
          </w:tcPr>
          <w:p>
            <w:pPr>
              <w:jc w:val="left"/>
            </w:pPr>
            <w:r>
              <w:rPr>
                <w:b w:val="false"/>
                <w:bCs w:val="false"/>
                <w:color w:val="000000"/>
                <w:sz w:val="17"/>
                <w:szCs w:val="17"/>
              </w:rPr>
              <w:t xml:space="preserve">RN-01</w:t>
            </w:r>
          </w:p>
        </w:tc>
        <w:tc>
          <w:tcPr>
            <w:tcW w:type="dxa" w:w="7680"/>
            <w:tcMar>
              <w:top w:type="dxa" w:w="80"/>
              <w:left w:type="dxa" w:w="100"/>
              <w:bottom w:type="dxa" w:w="80"/>
              <w:right w:type="dxa" w:w="100"/>
            </w:tcMar>
            <w:vAlign w:val="center"/>
          </w:tcPr>
          <w:p>
            <w:pPr>
              <w:jc w:val="left"/>
            </w:pPr>
            <w:r>
              <w:rPr>
                <w:b w:val="false"/>
                <w:bCs w:val="false"/>
                <w:color w:val="000000"/>
                <w:sz w:val="17"/>
                <w:szCs w:val="17"/>
              </w:rPr>
              <w:t xml:space="preserve">Un Colaborador solo puede responder una vez por campaña activa de un mismo instrumento.</w:t>
            </w:r>
          </w:p>
        </w:tc>
      </w:tr>
      <w:tr>
        <w:tc>
          <w:tcPr>
            <w:tcW w:type="dxa" w:w="11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RN-02</w:t>
            </w:r>
          </w:p>
        </w:tc>
        <w:tc>
          <w:tcPr>
            <w:tcW w:type="dxa" w:w="768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La encuesta no se muestra a un Colaborador sin consentimiento vigente para la finalidad 'encuesta de bienestar' (deriva de D-02).</w:t>
            </w:r>
          </w:p>
        </w:tc>
      </w:tr>
      <w:tr>
        <w:tc>
          <w:tcPr>
            <w:tcW w:type="dxa" w:w="1100"/>
            <w:tcMar>
              <w:top w:type="dxa" w:w="80"/>
              <w:left w:type="dxa" w:w="100"/>
              <w:bottom w:type="dxa" w:w="80"/>
              <w:right w:type="dxa" w:w="100"/>
            </w:tcMar>
            <w:vAlign w:val="center"/>
          </w:tcPr>
          <w:p>
            <w:pPr>
              <w:jc w:val="left"/>
            </w:pPr>
            <w:r>
              <w:rPr>
                <w:b w:val="false"/>
                <w:bCs w:val="false"/>
                <w:color w:val="000000"/>
                <w:sz w:val="17"/>
                <w:szCs w:val="17"/>
              </w:rPr>
              <w:t xml:space="preserve">RN-03</w:t>
            </w:r>
          </w:p>
        </w:tc>
        <w:tc>
          <w:tcPr>
            <w:tcW w:type="dxa" w:w="7680"/>
            <w:tcMar>
              <w:top w:type="dxa" w:w="80"/>
              <w:left w:type="dxa" w:w="100"/>
              <w:bottom w:type="dxa" w:w="80"/>
              <w:right w:type="dxa" w:w="100"/>
            </w:tcMar>
            <w:vAlign w:val="center"/>
          </w:tcPr>
          <w:p>
            <w:pPr>
              <w:jc w:val="left"/>
            </w:pPr>
            <w:r>
              <w:rPr>
                <w:b w:val="false"/>
                <w:bCs w:val="false"/>
                <w:color w:val="000000"/>
                <w:sz w:val="17"/>
                <w:szCs w:val="17"/>
              </w:rPr>
              <w:t xml:space="preserve">Ninguna consulta puede unir la tabla de identidad con la tabla de respuestas en un resultado visible fuera del propio Colaborador (deriva de D-01 / RA-01).</w:t>
            </w:r>
          </w:p>
        </w:tc>
      </w:tr>
      <w:tr>
        <w:tc>
          <w:tcPr>
            <w:tcW w:type="dxa" w:w="11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RN-04</w:t>
            </w:r>
          </w:p>
        </w:tc>
        <w:tc>
          <w:tcPr>
            <w:tcW w:type="dxa" w:w="768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Todo resultado agregado se calcula dentro de la función de base de datos que aplica el mecanismo de privacidad. Si el grupo no alcanza k = 5 se regresa 'grupo insuficiente'; si el presupuesto de épsilon de esa unidad y campaña está agotado se regresa un estado distinto. Nunca un valor parcial (deriva de D-03 y D-07 / RA-02).</w:t>
            </w:r>
          </w:p>
        </w:tc>
      </w:tr>
      <w:tr>
        <w:tc>
          <w:tcPr>
            <w:tcW w:type="dxa" w:w="1100"/>
            <w:tcMar>
              <w:top w:type="dxa" w:w="80"/>
              <w:left w:type="dxa" w:w="100"/>
              <w:bottom w:type="dxa" w:w="80"/>
              <w:right w:type="dxa" w:w="100"/>
            </w:tcMar>
            <w:vAlign w:val="center"/>
          </w:tcPr>
          <w:p>
            <w:pPr>
              <w:jc w:val="left"/>
            </w:pPr>
            <w:r>
              <w:rPr>
                <w:b w:val="false"/>
                <w:bCs w:val="false"/>
                <w:color w:val="000000"/>
                <w:sz w:val="17"/>
                <w:szCs w:val="17"/>
              </w:rPr>
              <w:t xml:space="preserve">RN-05</w:t>
            </w:r>
          </w:p>
        </w:tc>
        <w:tc>
          <w:tcPr>
            <w:tcW w:type="dxa" w:w="7680"/>
            <w:tcMar>
              <w:top w:type="dxa" w:w="80"/>
              <w:left w:type="dxa" w:w="100"/>
              <w:bottom w:type="dxa" w:w="80"/>
              <w:right w:type="dxa" w:w="100"/>
            </w:tcMar>
            <w:vAlign w:val="center"/>
          </w:tcPr>
          <w:p>
            <w:pPr>
              <w:jc w:val="left"/>
            </w:pPr>
            <w:r>
              <w:rPr>
                <w:b w:val="false"/>
                <w:bCs w:val="false"/>
                <w:color w:val="000000"/>
                <w:sz w:val="17"/>
                <w:szCs w:val="17"/>
              </w:rPr>
              <w:t xml:space="preserve">Revocar el consentimiento no elimina respuestas ya enviadas; solo impide nuevas respuestas mientras el consentimiento esté revocado (deriva de D-02).</w:t>
            </w:r>
          </w:p>
        </w:tc>
      </w:tr>
      <w:tr>
        <w:tc>
          <w:tcPr>
            <w:tcW w:type="dxa" w:w="11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RN-06</w:t>
            </w:r>
          </w:p>
        </w:tc>
        <w:tc>
          <w:tcPr>
            <w:tcW w:type="dxa" w:w="768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Ningún perfil con autoridad laboral puede recibir un identificador que permita rastrear una respuesta hacia una persona (deriva de D-04 / RA-04). La regla no depende del código: el rol de base de datos de la aplicación carece de permiso de lectura sobre las respuestas individuales.</w:t>
            </w:r>
          </w:p>
        </w:tc>
      </w:tr>
      <w:tr>
        <w:tc>
          <w:tcPr>
            <w:tcW w:type="dxa" w:w="1100"/>
            <w:tcMar>
              <w:top w:type="dxa" w:w="80"/>
              <w:left w:type="dxa" w:w="100"/>
              <w:bottom w:type="dxa" w:w="80"/>
              <w:right w:type="dxa" w:w="100"/>
            </w:tcMar>
            <w:vAlign w:val="center"/>
          </w:tcPr>
          <w:p>
            <w:pPr>
              <w:jc w:val="left"/>
            </w:pPr>
            <w:r>
              <w:rPr>
                <w:b w:val="false"/>
                <w:bCs w:val="false"/>
                <w:color w:val="000000"/>
                <w:sz w:val="17"/>
                <w:szCs w:val="17"/>
              </w:rPr>
              <w:t xml:space="preserve">RN-07</w:t>
            </w:r>
          </w:p>
        </w:tc>
        <w:tc>
          <w:tcPr>
            <w:tcW w:type="dxa" w:w="7680"/>
            <w:tcMar>
              <w:top w:type="dxa" w:w="80"/>
              <w:left w:type="dxa" w:w="100"/>
              <w:bottom w:type="dxa" w:w="80"/>
              <w:right w:type="dxa" w:w="100"/>
            </w:tcMar>
            <w:vAlign w:val="center"/>
          </w:tcPr>
          <w:p>
            <w:pPr>
              <w:jc w:val="left"/>
            </w:pPr>
            <w:r>
              <w:rPr>
                <w:b w:val="false"/>
                <w:bCs w:val="false"/>
                <w:color w:val="000000"/>
                <w:sz w:val="17"/>
                <w:szCs w:val="17"/>
              </w:rPr>
              <w:t xml:space="preserve">Cambiar el umbral k, el valor de épsilon o el presupuesto de privacidad, y asignar perfiles, son operaciones exclusivas del Administrador del Sistema y quedan en bitácora. El presupuesto ya consumido dentro de una campaña no puede reponerse.</w:t>
            </w:r>
          </w:p>
        </w:tc>
      </w:tr>
      <w:tr>
        <w:tc>
          <w:tcPr>
            <w:tcW w:type="dxa" w:w="11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RN-08</w:t>
            </w:r>
          </w:p>
        </w:tc>
        <w:tc>
          <w:tcPr>
            <w:tcW w:type="dxa" w:w="768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Una unidad organizacional no puede eliminarse si tiene colaboradores activos asignados; solo puede inactivarse.</w:t>
            </w:r>
          </w:p>
        </w:tc>
      </w:tr>
    </w:tbl>
    <w:p>
      <w:pPr>
        <w:pStyle w:val="Heading1"/>
        <w:spacing w:after="160" w:before="320"/>
      </w:pPr>
      <w:r>
        <w:t xml:space="preserve">6. Casos de uso principales</w:t>
      </w:r>
    </w:p>
    <w:p>
      <w:pPr>
        <w:pStyle w:val="Heading2"/>
        <w:spacing w:after="120" w:before="240"/>
      </w:pPr>
      <w:r>
        <w:t xml:space="preserve">CU-01 — Responder encuesta con consentimiento vigente</w:t>
      </w:r>
    </w:p>
    <w:p>
      <w:pPr>
        <w:spacing w:after="100"/>
      </w:pPr>
      <w:r>
        <w:rPr>
          <w:b/>
          <w:bCs/>
        </w:rPr>
        <w:t xml:space="preserve">Actor: </w:t>
      </w:r>
      <w:r>
        <w:t xml:space="preserve">Colaborador</w:t>
      </w:r>
    </w:p>
    <w:p>
      <w:pPr>
        <w:spacing w:after="80"/>
      </w:pPr>
      <w:r>
        <w:rPr>
          <w:b/>
          <w:bCs/>
        </w:rPr>
        <w:t xml:space="preserve">Flujo principal:</w:t>
      </w:r>
    </w:p>
    <w:p>
      <w:pPr>
        <w:spacing w:after="60"/>
      </w:pPr>
      <w:r>
        <w:t xml:space="preserve">1. El Colaborador inicia sesión.</w:t>
      </w:r>
    </w:p>
    <w:p>
      <w:pPr>
        <w:spacing w:after="60"/>
      </w:pPr>
      <w:r>
        <w:t xml:space="preserve">2. El sistema valida que exista consentimiento vigente para la finalidad de encuesta.</w:t>
      </w:r>
    </w:p>
    <w:p>
      <w:pPr>
        <w:spacing w:after="60"/>
      </w:pPr>
      <w:r>
        <w:t xml:space="preserve">3. El sistema muestra el instrumento activo de su unidad.</w:t>
      </w:r>
    </w:p>
    <w:p>
      <w:pPr>
        <w:spacing w:after="60"/>
      </w:pPr>
      <w:r>
        <w:t xml:space="preserve">4. El Colaborador responde y envía.</w:t>
      </w:r>
    </w:p>
    <w:p>
      <w:pPr>
        <w:spacing w:after="60"/>
      </w:pPr>
      <w:r>
        <w:t xml:space="preserve">5. El sistema almacena la respuesta seudonimizada en la base de datos y confirma el envío.</w:t>
      </w:r>
    </w:p>
    <w:p>
      <w:pPr>
        <w:pStyle w:val="Heading2"/>
        <w:spacing w:after="120" w:before="240"/>
      </w:pPr>
      <w:r>
        <w:t xml:space="preserve">CU-02 — Consultar resultado agregado de una unidad</w:t>
      </w:r>
    </w:p>
    <w:p>
      <w:pPr>
        <w:spacing w:after="100"/>
      </w:pPr>
      <w:r>
        <w:rPr>
          <w:b/>
          <w:bCs/>
        </w:rPr>
        <w:t xml:space="preserve">Actor: </w:t>
      </w:r>
      <w:r>
        <w:t xml:space="preserve">Líder de unidad / Esp. Bienestar / Auditor de cumplimiento</w:t>
      </w:r>
    </w:p>
    <w:p>
      <w:pPr>
        <w:spacing w:after="80"/>
      </w:pPr>
      <w:r>
        <w:rPr>
          <w:b/>
          <w:bCs/>
        </w:rPr>
        <w:t xml:space="preserve">Flujo principal:</w:t>
      </w:r>
    </w:p>
    <w:p>
      <w:pPr>
        <w:spacing w:after="60"/>
      </w:pPr>
      <w:r>
        <w:t xml:space="preserve">1. El usuario selecciona una unidad organizacional.</w:t>
      </w:r>
    </w:p>
    <w:p>
      <w:pPr>
        <w:spacing w:after="60"/>
      </w:pPr>
      <w:r>
        <w:t xml:space="preserve">2. El sistema cuenta las respuestas disponibles para esa unidad.</w:t>
      </w:r>
    </w:p>
    <w:p>
      <w:pPr>
        <w:spacing w:after="60"/>
      </w:pPr>
      <w:r>
        <w:t xml:space="preserve">3. Si el conteo es menor a k, el sistema muestra 'grupo insuficiente' y no consume presupuesto.</w:t>
      </w:r>
    </w:p>
    <w:p>
      <w:pPr>
        <w:spacing w:after="60"/>
      </w:pPr>
      <w:r>
        <w:t xml:space="preserve">4. Si el conteo alcanza k, el sistema verifica que quede presupuesto de épsilon, recorta los valores al rango del instrumento, calcula la media, deriva la sensibilidad, suma ruido de Laplace, descuenta el presupuesto y muestra el valor protegido junto con el épsilon utilizado y la precisión esperada.</w:t>
      </w:r>
    </w:p>
    <w:p>
      <w:pPr>
        <w:pStyle w:val="Heading2"/>
        <w:spacing w:after="120" w:before="240"/>
      </w:pPr>
      <w:r>
        <w:t xml:space="preserve">CU-03 — Otorgar o revocar consentimiento</w:t>
      </w:r>
    </w:p>
    <w:p>
      <w:pPr>
        <w:spacing w:after="100"/>
      </w:pPr>
      <w:r>
        <w:rPr>
          <w:b/>
          <w:bCs/>
        </w:rPr>
        <w:t xml:space="preserve">Actor: </w:t>
      </w:r>
      <w:r>
        <w:t xml:space="preserve">Colaborador</w:t>
      </w:r>
    </w:p>
    <w:p>
      <w:pPr>
        <w:spacing w:after="80"/>
      </w:pPr>
      <w:r>
        <w:rPr>
          <w:b/>
          <w:bCs/>
        </w:rPr>
        <w:t xml:space="preserve">Flujo principal:</w:t>
      </w:r>
    </w:p>
    <w:p>
      <w:pPr>
        <w:spacing w:after="60"/>
      </w:pPr>
      <w:r>
        <w:t xml:space="preserve">1. El Colaborador consulta el estado actual de su consentimiento.</w:t>
      </w:r>
    </w:p>
    <w:p>
      <w:pPr>
        <w:spacing w:after="60"/>
      </w:pPr>
      <w:r>
        <w:t xml:space="preserve">2. Selecciona otorgar o revocar.</w:t>
      </w:r>
    </w:p>
    <w:p>
      <w:pPr>
        <w:spacing w:after="60"/>
      </w:pPr>
      <w:r>
        <w:t xml:space="preserve">3. El sistema crea una nueva versión del registro de consentimiento con marca de tiempo.</w:t>
      </w:r>
    </w:p>
    <w:p>
      <w:pPr>
        <w:spacing w:after="60"/>
      </w:pPr>
      <w:r>
        <w:t xml:space="preserve">4. El sistema confirma el cambio y actualiza el acceso a la encuesta en consecuencia.</w:t>
      </w:r>
    </w:p>
    <w:p>
      <w:pPr>
        <w:pStyle w:val="Heading2"/>
        <w:spacing w:after="120" w:before="240"/>
      </w:pPr>
      <w:r>
        <w:t xml:space="preserve">CU-04 — Administrar catálogo de instrumentos</w:t>
      </w:r>
    </w:p>
    <w:p>
      <w:pPr>
        <w:spacing w:after="100"/>
      </w:pPr>
      <w:r>
        <w:rPr>
          <w:b/>
          <w:bCs/>
        </w:rPr>
        <w:t xml:space="preserve">Actor: </w:t>
      </w:r>
      <w:r>
        <w:t xml:space="preserve">Especialista de Bienestar</w:t>
      </w:r>
    </w:p>
    <w:p>
      <w:pPr>
        <w:spacing w:after="80"/>
      </w:pPr>
      <w:r>
        <w:rPr>
          <w:b/>
          <w:bCs/>
        </w:rPr>
        <w:t xml:space="preserve">Flujo principal:</w:t>
      </w:r>
    </w:p>
    <w:p>
      <w:pPr>
        <w:spacing w:after="60"/>
      </w:pPr>
      <w:r>
        <w:t xml:space="preserve">1. El especialista crea o edita un instrumento.</w:t>
      </w:r>
    </w:p>
    <w:p>
      <w:pPr>
        <w:spacing w:after="60"/>
      </w:pPr>
      <w:r>
        <w:t xml:space="preserve">2. Agrega reactivos y define la escala de respuesta.</w:t>
      </w:r>
    </w:p>
    <w:p>
      <w:pPr>
        <w:spacing w:after="60"/>
      </w:pPr>
      <w:r>
        <w:t xml:space="preserve">3. El sistema valida que exista al menos un reactivo antes de permitir publicarlo.</w:t>
      </w:r>
    </w:p>
    <w:p>
      <w:pPr>
        <w:spacing w:after="60"/>
      </w:pPr>
      <w:r>
        <w:t xml:space="preserve">4. El instrumento queda disponible para las unidades configuradas.</w:t>
      </w:r>
    </w:p>
    <w:p>
      <w:pPr>
        <w:pStyle w:val="Heading1"/>
        <w:spacing w:after="160" w:before="320"/>
      </w:pPr>
      <w:r>
        <w:t xml:space="preserve">7. Matriz de trazabilidad</w:t>
      </w:r>
    </w:p>
    <w:p>
      <w:pPr>
        <w:spacing w:after="160"/>
        <w:jc w:val="both"/>
      </w:pPr>
      <w:r>
        <w:t xml:space="preserve">Conecta requerimientos, historias, casos de uso, decisiones de diseño y reglas de negocio para que un cambio en cualquiera de estos elementos sea fácil de rastrear.</w:t>
      </w:r>
    </w:p>
    <w:tbl>
      <w:tblPr>
        <w:tblW w:type="dxa" w:w="7080"/>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1300"/>
        <w:gridCol w:w="1300"/>
        <w:gridCol w:w="1780"/>
      </w:tblGrid>
      <w:tr>
        <w:trPr>
          <w:tblHeader/>
        </w:trPr>
        <w:tc>
          <w:tcPr>
            <w:tcW w:type="dxa" w:w="1400"/>
            <w:shd w:fill="1F3864" w:val="clear"/>
            <w:tcMar>
              <w:top w:type="dxa" w:w="80"/>
              <w:left w:type="dxa" w:w="100"/>
              <w:bottom w:type="dxa" w:w="80"/>
              <w:right w:type="dxa" w:w="100"/>
            </w:tcMar>
            <w:vAlign w:val="center"/>
          </w:tcPr>
          <w:p>
            <w:pPr>
              <w:jc w:val="center"/>
            </w:pPr>
            <w:r>
              <w:rPr>
                <w:b/>
                <w:bCs/>
                <w:color w:val="FFFFFF"/>
                <w:sz w:val="18"/>
                <w:szCs w:val="18"/>
              </w:rPr>
              <w:t xml:space="preserve">Requerimiento(s)</w:t>
            </w:r>
          </w:p>
        </w:tc>
        <w:tc>
          <w:tcPr>
            <w:tcW w:type="dxa" w:w="1300"/>
            <w:shd w:fill="1F3864" w:val="clear"/>
            <w:tcMar>
              <w:top w:type="dxa" w:w="80"/>
              <w:left w:type="dxa" w:w="100"/>
              <w:bottom w:type="dxa" w:w="80"/>
              <w:right w:type="dxa" w:w="100"/>
            </w:tcMar>
            <w:vAlign w:val="center"/>
          </w:tcPr>
          <w:p>
            <w:pPr>
              <w:jc w:val="center"/>
            </w:pPr>
            <w:r>
              <w:rPr>
                <w:b/>
                <w:bCs/>
                <w:color w:val="FFFFFF"/>
                <w:sz w:val="18"/>
                <w:szCs w:val="18"/>
              </w:rPr>
              <w:t xml:space="preserve">Historia(s)</w:t>
            </w:r>
          </w:p>
        </w:tc>
        <w:tc>
          <w:tcPr>
            <w:tcW w:type="dxa" w:w="1300"/>
            <w:shd w:fill="1F3864" w:val="clear"/>
            <w:tcMar>
              <w:top w:type="dxa" w:w="80"/>
              <w:left w:type="dxa" w:w="100"/>
              <w:bottom w:type="dxa" w:w="80"/>
              <w:right w:type="dxa" w:w="100"/>
            </w:tcMar>
            <w:vAlign w:val="center"/>
          </w:tcPr>
          <w:p>
            <w:pPr>
              <w:jc w:val="center"/>
            </w:pPr>
            <w:r>
              <w:rPr>
                <w:b/>
                <w:bCs/>
                <w:color w:val="FFFFFF"/>
                <w:sz w:val="18"/>
                <w:szCs w:val="18"/>
              </w:rPr>
              <w:t xml:space="preserve">Caso(s) de uso</w:t>
            </w:r>
          </w:p>
        </w:tc>
        <w:tc>
          <w:tcPr>
            <w:tcW w:type="dxa" w:w="1300"/>
            <w:shd w:fill="1F3864" w:val="clear"/>
            <w:tcMar>
              <w:top w:type="dxa" w:w="80"/>
              <w:left w:type="dxa" w:w="100"/>
              <w:bottom w:type="dxa" w:w="80"/>
              <w:right w:type="dxa" w:w="100"/>
            </w:tcMar>
            <w:vAlign w:val="center"/>
          </w:tcPr>
          <w:p>
            <w:pPr>
              <w:jc w:val="center"/>
            </w:pPr>
            <w:r>
              <w:rPr>
                <w:b/>
                <w:bCs/>
                <w:color w:val="FFFFFF"/>
                <w:sz w:val="18"/>
                <w:szCs w:val="18"/>
              </w:rPr>
              <w:t xml:space="preserve">Decisión</w:t>
            </w:r>
          </w:p>
        </w:tc>
        <w:tc>
          <w:tcPr>
            <w:tcW w:type="dxa" w:w="1780"/>
            <w:shd w:fill="1F3864" w:val="clear"/>
            <w:tcMar>
              <w:top w:type="dxa" w:w="80"/>
              <w:left w:type="dxa" w:w="100"/>
              <w:bottom w:type="dxa" w:w="80"/>
              <w:right w:type="dxa" w:w="100"/>
            </w:tcMar>
            <w:vAlign w:val="center"/>
          </w:tcPr>
          <w:p>
            <w:pPr>
              <w:jc w:val="center"/>
            </w:pPr>
            <w:r>
              <w:rPr>
                <w:b/>
                <w:bCs/>
                <w:color w:val="FFFFFF"/>
                <w:sz w:val="18"/>
                <w:szCs w:val="18"/>
              </w:rPr>
              <w:t xml:space="preserve">Regla(s)</w:t>
            </w:r>
          </w:p>
        </w:tc>
      </w:tr>
      <w:tr>
        <w:tc>
          <w:tcPr>
            <w:tcW w:type="dxa" w:w="1400"/>
            <w:tcMar>
              <w:top w:type="dxa" w:w="80"/>
              <w:left w:type="dxa" w:w="100"/>
              <w:bottom w:type="dxa" w:w="80"/>
              <w:right w:type="dxa" w:w="100"/>
            </w:tcMar>
            <w:vAlign w:val="center"/>
          </w:tcPr>
          <w:p>
            <w:pPr>
              <w:jc w:val="left"/>
            </w:pPr>
            <w:r>
              <w:rPr>
                <w:b w:val="false"/>
                <w:bCs w:val="false"/>
                <w:color w:val="000000"/>
                <w:sz w:val="17"/>
                <w:szCs w:val="17"/>
              </w:rPr>
              <w:t xml:space="preserve">RF-05 / RF-06</w:t>
            </w:r>
          </w:p>
        </w:tc>
        <w:tc>
          <w:tcPr>
            <w:tcW w:type="dxa" w:w="1300"/>
            <w:tcMar>
              <w:top w:type="dxa" w:w="80"/>
              <w:left w:type="dxa" w:w="100"/>
              <w:bottom w:type="dxa" w:w="80"/>
              <w:right w:type="dxa" w:w="100"/>
            </w:tcMar>
            <w:vAlign w:val="center"/>
          </w:tcPr>
          <w:p>
            <w:pPr>
              <w:jc w:val="left"/>
            </w:pPr>
            <w:r>
              <w:rPr>
                <w:b w:val="false"/>
                <w:bCs w:val="false"/>
                <w:color w:val="000000"/>
                <w:sz w:val="17"/>
                <w:szCs w:val="17"/>
              </w:rPr>
              <w:t xml:space="preserve">HU-01, HU-02</w:t>
            </w:r>
          </w:p>
        </w:tc>
        <w:tc>
          <w:tcPr>
            <w:tcW w:type="dxa" w:w="1300"/>
            <w:tcMar>
              <w:top w:type="dxa" w:w="80"/>
              <w:left w:type="dxa" w:w="100"/>
              <w:bottom w:type="dxa" w:w="80"/>
              <w:right w:type="dxa" w:w="100"/>
            </w:tcMar>
            <w:vAlign w:val="center"/>
          </w:tcPr>
          <w:p>
            <w:pPr>
              <w:jc w:val="left"/>
            </w:pPr>
            <w:r>
              <w:rPr>
                <w:b w:val="false"/>
                <w:bCs w:val="false"/>
                <w:color w:val="000000"/>
                <w:sz w:val="17"/>
                <w:szCs w:val="17"/>
              </w:rPr>
              <w:t xml:space="preserve">CU-01, CU-03</w:t>
            </w:r>
          </w:p>
        </w:tc>
        <w:tc>
          <w:tcPr>
            <w:tcW w:type="dxa" w:w="1300"/>
            <w:tcMar>
              <w:top w:type="dxa" w:w="80"/>
              <w:left w:type="dxa" w:w="100"/>
              <w:bottom w:type="dxa" w:w="80"/>
              <w:right w:type="dxa" w:w="100"/>
            </w:tcMar>
            <w:vAlign w:val="center"/>
          </w:tcPr>
          <w:p>
            <w:pPr>
              <w:jc w:val="left"/>
            </w:pPr>
            <w:r>
              <w:rPr>
                <w:b w:val="false"/>
                <w:bCs w:val="false"/>
                <w:color w:val="000000"/>
                <w:sz w:val="17"/>
                <w:szCs w:val="17"/>
              </w:rPr>
              <w:t xml:space="preserve">D-01, D-02</w:t>
            </w:r>
          </w:p>
        </w:tc>
        <w:tc>
          <w:tcPr>
            <w:tcW w:type="dxa" w:w="1780"/>
            <w:tcMar>
              <w:top w:type="dxa" w:w="80"/>
              <w:left w:type="dxa" w:w="100"/>
              <w:bottom w:type="dxa" w:w="80"/>
              <w:right w:type="dxa" w:w="100"/>
            </w:tcMar>
            <w:vAlign w:val="center"/>
          </w:tcPr>
          <w:p>
            <w:pPr>
              <w:jc w:val="left"/>
            </w:pPr>
            <w:r>
              <w:rPr>
                <w:b w:val="false"/>
                <w:bCs w:val="false"/>
                <w:color w:val="000000"/>
                <w:sz w:val="17"/>
                <w:szCs w:val="17"/>
              </w:rPr>
              <w:t xml:space="preserve">RN-01, RN-02, RN-03</w:t>
            </w:r>
          </w:p>
        </w:tc>
      </w:tr>
      <w:tr>
        <w:tc>
          <w:tcPr>
            <w:tcW w:type="dxa" w:w="14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RF-07</w:t>
            </w:r>
          </w:p>
        </w:tc>
        <w:tc>
          <w:tcPr>
            <w:tcW w:type="dxa" w:w="13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HU-03</w:t>
            </w:r>
          </w:p>
        </w:tc>
        <w:tc>
          <w:tcPr>
            <w:tcW w:type="dxa" w:w="13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CU-02</w:t>
            </w:r>
          </w:p>
        </w:tc>
        <w:tc>
          <w:tcPr>
            <w:tcW w:type="dxa" w:w="13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D-07</w:t>
            </w:r>
          </w:p>
        </w:tc>
        <w:tc>
          <w:tcPr>
            <w:tcW w:type="dxa" w:w="178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RN-04</w:t>
            </w:r>
          </w:p>
        </w:tc>
      </w:tr>
      <w:tr>
        <w:tc>
          <w:tcPr>
            <w:tcW w:type="dxa" w:w="1400"/>
            <w:tcMar>
              <w:top w:type="dxa" w:w="80"/>
              <w:left w:type="dxa" w:w="100"/>
              <w:bottom w:type="dxa" w:w="80"/>
              <w:right w:type="dxa" w:w="100"/>
            </w:tcMar>
            <w:vAlign w:val="center"/>
          </w:tcPr>
          <w:p>
            <w:pPr>
              <w:jc w:val="left"/>
            </w:pPr>
            <w:r>
              <w:rPr>
                <w:b w:val="false"/>
                <w:bCs w:val="false"/>
                <w:color w:val="000000"/>
                <w:sz w:val="17"/>
                <w:szCs w:val="17"/>
              </w:rPr>
              <w:t xml:space="preserve">RF-04</w:t>
            </w:r>
          </w:p>
        </w:tc>
        <w:tc>
          <w:tcPr>
            <w:tcW w:type="dxa" w:w="1300"/>
            <w:tcMar>
              <w:top w:type="dxa" w:w="80"/>
              <w:left w:type="dxa" w:w="100"/>
              <w:bottom w:type="dxa" w:w="80"/>
              <w:right w:type="dxa" w:w="100"/>
            </w:tcMar>
            <w:vAlign w:val="center"/>
          </w:tcPr>
          <w:p>
            <w:pPr>
              <w:jc w:val="left"/>
            </w:pPr>
            <w:r>
              <w:rPr>
                <w:b w:val="false"/>
                <w:bCs w:val="false"/>
                <w:color w:val="000000"/>
                <w:sz w:val="17"/>
                <w:szCs w:val="17"/>
              </w:rPr>
              <w:t xml:space="preserve">HU-04</w:t>
            </w:r>
          </w:p>
        </w:tc>
        <w:tc>
          <w:tcPr>
            <w:tcW w:type="dxa" w:w="1300"/>
            <w:tcMar>
              <w:top w:type="dxa" w:w="80"/>
              <w:left w:type="dxa" w:w="100"/>
              <w:bottom w:type="dxa" w:w="80"/>
              <w:right w:type="dxa" w:w="100"/>
            </w:tcMar>
            <w:vAlign w:val="center"/>
          </w:tcPr>
          <w:p>
            <w:pPr>
              <w:jc w:val="left"/>
            </w:pPr>
            <w:r>
              <w:rPr>
                <w:b w:val="false"/>
                <w:bCs w:val="false"/>
                <w:color w:val="000000"/>
                <w:sz w:val="17"/>
                <w:szCs w:val="17"/>
              </w:rPr>
              <w:t xml:space="preserve">CU-04</w:t>
            </w:r>
          </w:p>
        </w:tc>
        <w:tc>
          <w:tcPr>
            <w:tcW w:type="dxa" w:w="1300"/>
            <w:tcMar>
              <w:top w:type="dxa" w:w="80"/>
              <w:left w:type="dxa" w:w="100"/>
              <w:bottom w:type="dxa" w:w="80"/>
              <w:right w:type="dxa" w:w="100"/>
            </w:tcMar>
            <w:vAlign w:val="center"/>
          </w:tcPr>
          <w:p>
            <w:pPr>
              <w:jc w:val="left"/>
            </w:pPr>
            <w:r>
              <w:rPr>
                <w:b w:val="false"/>
                <w:bCs w:val="false"/>
                <w:color w:val="000000"/>
                <w:sz w:val="17"/>
                <w:szCs w:val="17"/>
              </w:rPr>
              <w:t xml:space="preserve">—</w:t>
            </w:r>
          </w:p>
        </w:tc>
        <w:tc>
          <w:tcPr>
            <w:tcW w:type="dxa" w:w="1780"/>
            <w:tcMar>
              <w:top w:type="dxa" w:w="80"/>
              <w:left w:type="dxa" w:w="100"/>
              <w:bottom w:type="dxa" w:w="80"/>
              <w:right w:type="dxa" w:w="100"/>
            </w:tcMar>
            <w:vAlign w:val="center"/>
          </w:tcPr>
          <w:p>
            <w:pPr>
              <w:jc w:val="left"/>
            </w:pPr>
            <w:r>
              <w:rPr>
                <w:b w:val="false"/>
                <w:bCs w:val="false"/>
                <w:color w:val="000000"/>
                <w:sz w:val="17"/>
                <w:szCs w:val="17"/>
              </w:rPr>
              <w:t xml:space="preserve">RN-08</w:t>
            </w:r>
          </w:p>
        </w:tc>
      </w:tr>
      <w:tr>
        <w:tc>
          <w:tcPr>
            <w:tcW w:type="dxa" w:w="14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RF-09, RF-10</w:t>
            </w:r>
          </w:p>
        </w:tc>
        <w:tc>
          <w:tcPr>
            <w:tcW w:type="dxa" w:w="13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HU-05, HU-06</w:t>
            </w:r>
          </w:p>
        </w:tc>
        <w:tc>
          <w:tcPr>
            <w:tcW w:type="dxa" w:w="13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w:t>
            </w:r>
          </w:p>
        </w:tc>
        <w:tc>
          <w:tcPr>
            <w:tcW w:type="dxa" w:w="130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D-04</w:t>
            </w:r>
          </w:p>
        </w:tc>
        <w:tc>
          <w:tcPr>
            <w:tcW w:type="dxa" w:w="1780"/>
            <w:shd w:fill="F2F2F2" w:val="clear"/>
            <w:tcMar>
              <w:top w:type="dxa" w:w="80"/>
              <w:left w:type="dxa" w:w="100"/>
              <w:bottom w:type="dxa" w:w="80"/>
              <w:right w:type="dxa" w:w="100"/>
            </w:tcMar>
            <w:vAlign w:val="center"/>
          </w:tcPr>
          <w:p>
            <w:pPr>
              <w:jc w:val="left"/>
            </w:pPr>
            <w:r>
              <w:rPr>
                <w:b w:val="false"/>
                <w:bCs w:val="false"/>
                <w:color w:val="000000"/>
                <w:sz w:val="17"/>
                <w:szCs w:val="17"/>
              </w:rPr>
              <w:t xml:space="preserve">RN-06, RN-07</w:t>
            </w:r>
          </w:p>
        </w:tc>
      </w:tr>
      <w:tr>
        <w:tc>
          <w:tcPr>
            <w:tcW w:type="dxa" w:w="1400"/>
            <w:tcMar>
              <w:top w:type="dxa" w:w="80"/>
              <w:left w:type="dxa" w:w="100"/>
              <w:bottom w:type="dxa" w:w="80"/>
              <w:right w:type="dxa" w:w="100"/>
            </w:tcMar>
            <w:vAlign w:val="center"/>
          </w:tcPr>
          <w:p>
            <w:pPr>
              <w:jc w:val="left"/>
            </w:pPr>
            <w:r>
              <w:rPr>
                <w:b w:val="false"/>
                <w:bCs w:val="false"/>
                <w:color w:val="000000"/>
                <w:sz w:val="17"/>
                <w:szCs w:val="17"/>
              </w:rPr>
              <w:t xml:space="preserve">RF-08</w:t>
            </w:r>
          </w:p>
        </w:tc>
        <w:tc>
          <w:tcPr>
            <w:tcW w:type="dxa" w:w="1300"/>
            <w:tcMar>
              <w:top w:type="dxa" w:w="80"/>
              <w:left w:type="dxa" w:w="100"/>
              <w:bottom w:type="dxa" w:w="80"/>
              <w:right w:type="dxa" w:w="100"/>
            </w:tcMar>
            <w:vAlign w:val="center"/>
          </w:tcPr>
          <w:p>
            <w:pPr>
              <w:jc w:val="left"/>
            </w:pPr>
            <w:r>
              <w:rPr>
                <w:b w:val="false"/>
                <w:bCs w:val="false"/>
                <w:color w:val="000000"/>
                <w:sz w:val="17"/>
                <w:szCs w:val="17"/>
              </w:rPr>
              <w:t xml:space="preserve">HU-07</w:t>
            </w:r>
          </w:p>
        </w:tc>
        <w:tc>
          <w:tcPr>
            <w:tcW w:type="dxa" w:w="1300"/>
            <w:tcMar>
              <w:top w:type="dxa" w:w="80"/>
              <w:left w:type="dxa" w:w="100"/>
              <w:bottom w:type="dxa" w:w="80"/>
              <w:right w:type="dxa" w:w="100"/>
            </w:tcMar>
            <w:vAlign w:val="center"/>
          </w:tcPr>
          <w:p>
            <w:pPr>
              <w:jc w:val="left"/>
            </w:pPr>
            <w:r>
              <w:rPr>
                <w:b w:val="false"/>
                <w:bCs w:val="false"/>
                <w:color w:val="000000"/>
                <w:sz w:val="17"/>
                <w:szCs w:val="17"/>
              </w:rPr>
              <w:t xml:space="preserve">CU-02</w:t>
            </w:r>
          </w:p>
        </w:tc>
        <w:tc>
          <w:tcPr>
            <w:tcW w:type="dxa" w:w="1300"/>
            <w:tcMar>
              <w:top w:type="dxa" w:w="80"/>
              <w:left w:type="dxa" w:w="100"/>
              <w:bottom w:type="dxa" w:w="80"/>
              <w:right w:type="dxa" w:w="100"/>
            </w:tcMar>
            <w:vAlign w:val="center"/>
          </w:tcPr>
          <w:p>
            <w:pPr>
              <w:jc w:val="left"/>
            </w:pPr>
            <w:r>
              <w:rPr>
                <w:b w:val="false"/>
                <w:bCs w:val="false"/>
                <w:color w:val="000000"/>
                <w:sz w:val="17"/>
                <w:szCs w:val="17"/>
              </w:rPr>
              <w:t xml:space="preserve">D-04, D-07</w:t>
            </w:r>
          </w:p>
        </w:tc>
        <w:tc>
          <w:tcPr>
            <w:tcW w:type="dxa" w:w="1780"/>
            <w:tcMar>
              <w:top w:type="dxa" w:w="80"/>
              <w:left w:type="dxa" w:w="100"/>
              <w:bottom w:type="dxa" w:w="80"/>
              <w:right w:type="dxa" w:w="100"/>
            </w:tcMar>
            <w:vAlign w:val="center"/>
          </w:tcPr>
          <w:p>
            <w:pPr>
              <w:jc w:val="left"/>
            </w:pPr>
            <w:r>
              <w:rPr>
                <w:b w:val="false"/>
                <w:bCs w:val="false"/>
                <w:color w:val="000000"/>
                <w:sz w:val="17"/>
                <w:szCs w:val="17"/>
              </w:rPr>
              <w:t xml:space="preserve">RN-04, RN-06</w:t>
            </w:r>
          </w:p>
        </w:tc>
      </w:tr>
    </w:tbl>
    <w:p>
      <w:pPr>
        <w:pStyle w:val="Heading1"/>
        <w:spacing w:after="160" w:before="320"/>
      </w:pPr>
      <w:r>
        <w:t xml:space="preserve">8. Siguiente paso</w:t>
      </w:r>
    </w:p>
    <w:p>
      <w:pPr>
        <w:spacing w:after="160"/>
        <w:jc w:val="both"/>
      </w:pPr>
      <w:r>
        <w:t xml:space="preserve">Con requerimientos, historias, reglas de negocio y trazabilidad cerrados, el equipo puede iniciar de lleno la semana 2: diagramas de arquitectura y el modelo de datos (PostgreSQL, MongoDB, Redis). Ricardo puede comenzar el modelo conceptual de PostgreSQL usando directamente las secciones 2, 5 y 7 de este documento como insumo.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Equipo 03 — Proyecto 4 · Requerimientos y HU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b/>
      <w:bCs/>
      <w:color w:val="1F3864"/>
      <w:sz w:val="28"/>
      <w:szCs w:val="28"/>
    </w:rPr>
  </w:style>
  <w:style w:type="paragraph" w:styleId="Heading2">
    <w:name w:val="Heading 2"/>
    <w:basedOn w:val="Normal"/>
    <w:next w:val="Normal"/>
    <w:qFormat/>
    <w:pPr>
      <w:spacing w:after="120" w:before="240"/>
      <w:outlineLvl w:val="1"/>
    </w:pPr>
    <w:rPr>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2026-09-04T15:34:17.605Z</dcterms:created>
  <dcterms:modified xsi:type="dcterms:W3CDTF">2026-09-04T15:34:17.606Z</dcterms:modified>
</cp:coreProperties>
</file>

<file path=docProps/custom.xml><?xml version="1.0" encoding="utf-8"?>
<Properties xmlns="http://schemas.openxmlformats.org/officeDocument/2006/custom-properties" xmlns:vt="http://schemas.openxmlformats.org/officeDocument/2006/docPropsVTypes"/>
</file>