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A07E2" w14:textId="67CBD9DC" w:rsidR="00C316DA" w:rsidRDefault="002B25F2" w:rsidP="5D95252A">
      <w:pPr>
        <w:rPr>
          <w:rFonts w:ascii="Times New Roman" w:eastAsia="Times New Roman" w:hAnsi="Times New Roman" w:cs="Times New Roman"/>
          <w:b/>
          <w:color w:val="000000" w:themeColor="text1"/>
        </w:rPr>
      </w:pPr>
      <w:r w:rsidRPr="5D95252A">
        <w:rPr>
          <w:rFonts w:ascii="Times New Roman" w:eastAsia="Times New Roman" w:hAnsi="Times New Roman" w:cs="Times New Roman"/>
          <w:b/>
          <w:color w:val="000000" w:themeColor="text1"/>
        </w:rPr>
        <w:t>Identificación del comercio potencial y diversificación exportadora para productos No minero-energéticos.</w:t>
      </w:r>
    </w:p>
    <w:p w14:paraId="02FECC80" w14:textId="37F6DA3C" w:rsidR="2D673419" w:rsidRPr="009C01DD" w:rsidRDefault="2D673419" w:rsidP="009C01DD">
      <w:pPr>
        <w:pStyle w:val="ListParagraph"/>
        <w:numPr>
          <w:ilvl w:val="0"/>
          <w:numId w:val="4"/>
        </w:numPr>
        <w:rPr>
          <w:rFonts w:ascii="Times New Roman" w:eastAsia="Times New Roman" w:hAnsi="Times New Roman" w:cs="Times New Roman"/>
          <w:b/>
          <w:bCs/>
          <w:color w:val="000000" w:themeColor="text1"/>
        </w:rPr>
      </w:pPr>
      <w:r w:rsidRPr="009C01DD">
        <w:rPr>
          <w:rFonts w:ascii="Times New Roman" w:eastAsia="Times New Roman" w:hAnsi="Times New Roman" w:cs="Times New Roman"/>
          <w:b/>
          <w:bCs/>
          <w:color w:val="000000" w:themeColor="text1"/>
        </w:rPr>
        <w:t>Juan Esteban Roa</w:t>
      </w:r>
    </w:p>
    <w:p w14:paraId="4404506E" w14:textId="579CE2D4" w:rsidR="2D673419" w:rsidRPr="009C01DD" w:rsidRDefault="2D673419" w:rsidP="009C01DD">
      <w:pPr>
        <w:pStyle w:val="ListParagraph"/>
        <w:numPr>
          <w:ilvl w:val="0"/>
          <w:numId w:val="4"/>
        </w:numPr>
        <w:rPr>
          <w:rFonts w:ascii="Times New Roman" w:eastAsia="Times New Roman" w:hAnsi="Times New Roman" w:cs="Times New Roman"/>
          <w:b/>
          <w:bCs/>
          <w:color w:val="000000" w:themeColor="text1"/>
        </w:rPr>
      </w:pPr>
      <w:r w:rsidRPr="009C01DD">
        <w:rPr>
          <w:rFonts w:ascii="Times New Roman" w:eastAsia="Times New Roman" w:hAnsi="Times New Roman" w:cs="Times New Roman"/>
          <w:b/>
          <w:bCs/>
          <w:color w:val="000000" w:themeColor="text1"/>
        </w:rPr>
        <w:t>Juan Pablo Lozano</w:t>
      </w:r>
    </w:p>
    <w:p w14:paraId="4BDCA750" w14:textId="4FAFD258" w:rsidR="5D95252A" w:rsidRDefault="009C01DD" w:rsidP="009C01DD">
      <w:pPr>
        <w:pStyle w:val="ListParagraph"/>
        <w:numPr>
          <w:ilvl w:val="0"/>
          <w:numId w:val="4"/>
        </w:numPr>
      </w:pPr>
      <w:r w:rsidRPr="009C01DD">
        <w:rPr>
          <w:rFonts w:ascii="Times New Roman" w:eastAsia="Times New Roman" w:hAnsi="Times New Roman" w:cs="Times New Roman"/>
          <w:b/>
          <w:bCs/>
          <w:color w:val="000000" w:themeColor="text1"/>
        </w:rPr>
        <w:t>Andrés</w:t>
      </w:r>
      <w:r w:rsidR="2D673419" w:rsidRPr="009C01DD">
        <w:rPr>
          <w:rFonts w:ascii="Times New Roman" w:eastAsia="Times New Roman" w:hAnsi="Times New Roman" w:cs="Times New Roman"/>
          <w:b/>
          <w:bCs/>
          <w:color w:val="000000" w:themeColor="text1"/>
        </w:rPr>
        <w:t xml:space="preserve"> Linares</w:t>
      </w:r>
    </w:p>
    <w:p w14:paraId="5E7D8CB9" w14:textId="26C267CD" w:rsidR="00974580" w:rsidRDefault="00974580" w:rsidP="5D95252A">
      <w:pPr>
        <w:rPr>
          <w:rFonts w:ascii="Times New Roman" w:eastAsia="Times New Roman" w:hAnsi="Times New Roman" w:cs="Times New Roman"/>
        </w:rPr>
      </w:pPr>
      <w:r w:rsidRPr="0087612A">
        <w:rPr>
          <w:rFonts w:ascii="Times New Roman" w:eastAsia="Times New Roman" w:hAnsi="Times New Roman" w:cs="Times New Roman"/>
        </w:rPr>
        <w:t xml:space="preserve">Como se observa en el grafico 0.5, en Colombia hay una gran brecha entre </w:t>
      </w:r>
      <w:r w:rsidR="008661D4" w:rsidRPr="0087612A">
        <w:rPr>
          <w:rFonts w:ascii="Times New Roman" w:eastAsia="Times New Roman" w:hAnsi="Times New Roman" w:cs="Times New Roman"/>
        </w:rPr>
        <w:t xml:space="preserve">en </w:t>
      </w:r>
      <w:r w:rsidRPr="0087612A">
        <w:rPr>
          <w:rFonts w:ascii="Times New Roman" w:eastAsia="Times New Roman" w:hAnsi="Times New Roman" w:cs="Times New Roman"/>
        </w:rPr>
        <w:t xml:space="preserve">la cantidad exportada de </w:t>
      </w:r>
      <w:r w:rsidR="008661D4" w:rsidRPr="0087612A">
        <w:rPr>
          <w:rFonts w:ascii="Times New Roman" w:eastAsia="Times New Roman" w:hAnsi="Times New Roman" w:cs="Times New Roman"/>
        </w:rPr>
        <w:t>productos minero-energéticos y los demás, esto expone al país a la volatilidad de los precios internacionales de las materias primas. Por esta razón, diversificar la oferta exportable debe ser una prioridad, no solo de la política comercial, también del sector privado. Este informe presenta el análisis exploratorio previo a la creación de un modelo gravitacional, el cual tiene como objetivo la combinación socios-producto que Colombia tiene comercio potencial aún no aprovechado.</w:t>
      </w:r>
    </w:p>
    <w:p w14:paraId="22F5E9EF" w14:textId="0D03EA9E" w:rsidR="0087612A" w:rsidRDefault="0087612A" w:rsidP="5D95252A">
      <w:pPr>
        <w:rPr>
          <w:rFonts w:ascii="Times New Roman" w:eastAsia="Times New Roman" w:hAnsi="Times New Roman" w:cs="Times New Roman"/>
          <w:b/>
          <w:bCs/>
          <w:color w:val="000000" w:themeColor="text1"/>
        </w:rPr>
      </w:pPr>
      <w:r w:rsidRPr="5D95252A">
        <w:rPr>
          <w:rFonts w:ascii="Times New Roman" w:eastAsia="Times New Roman" w:hAnsi="Times New Roman" w:cs="Times New Roman"/>
          <w:b/>
          <w:bCs/>
          <w:color w:val="000000" w:themeColor="text1"/>
        </w:rPr>
        <w:t xml:space="preserve">Gráfico </w:t>
      </w:r>
      <w:r>
        <w:rPr>
          <w:rFonts w:ascii="Times New Roman" w:eastAsia="Times New Roman" w:hAnsi="Times New Roman" w:cs="Times New Roman"/>
          <w:b/>
          <w:bCs/>
          <w:color w:val="000000" w:themeColor="text1"/>
        </w:rPr>
        <w:t>0.5</w:t>
      </w:r>
    </w:p>
    <w:p w14:paraId="0FCD594D" w14:textId="7C5ECB28" w:rsidR="0087612A" w:rsidRPr="0087612A" w:rsidRDefault="0087612A" w:rsidP="5D95252A">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A4BE55" wp14:editId="590F930A">
            <wp:extent cx="5731510" cy="3344545"/>
            <wp:effectExtent l="0" t="0" r="0" b="0"/>
            <wp:docPr id="391778657" name="Picture 190368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42407" name="Picture 19036891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44545"/>
                    </a:xfrm>
                    <a:prstGeom prst="rect">
                      <a:avLst/>
                    </a:prstGeom>
                  </pic:spPr>
                </pic:pic>
              </a:graphicData>
            </a:graphic>
          </wp:inline>
        </w:drawing>
      </w:r>
    </w:p>
    <w:p w14:paraId="265F459A" w14:textId="19C9BD1A" w:rsidR="0087612A" w:rsidRDefault="0087612A" w:rsidP="5D95252A">
      <w:pPr>
        <w:rPr>
          <w:rFonts w:ascii="Times New Roman" w:eastAsia="Times New Roman" w:hAnsi="Times New Roman" w:cs="Times New Roman"/>
        </w:rPr>
      </w:pPr>
      <w:r w:rsidRPr="0087612A">
        <w:rPr>
          <w:rFonts w:ascii="Times New Roman" w:eastAsia="Times New Roman" w:hAnsi="Times New Roman" w:cs="Times New Roman"/>
        </w:rPr>
        <w:t>Con este propósito, se elaboró un panel a nivel país-socio para el periodo 2017-2024</w:t>
      </w:r>
      <w:r>
        <w:rPr>
          <w:rFonts w:ascii="Times New Roman" w:eastAsia="Times New Roman" w:hAnsi="Times New Roman" w:cs="Times New Roman"/>
        </w:rPr>
        <w:t xml:space="preserve">, </w:t>
      </w:r>
      <w:proofErr w:type="gramStart"/>
      <w:r>
        <w:rPr>
          <w:rFonts w:ascii="Times New Roman" w:eastAsia="Times New Roman" w:hAnsi="Times New Roman" w:cs="Times New Roman"/>
        </w:rPr>
        <w:t>este</w:t>
      </w:r>
      <w:r w:rsidR="00C564AE">
        <w:rPr>
          <w:rFonts w:ascii="Times New Roman" w:eastAsia="Times New Roman" w:hAnsi="Times New Roman" w:cs="Times New Roman"/>
        </w:rPr>
        <w:t xml:space="preserve"> </w:t>
      </w:r>
      <w:r>
        <w:rPr>
          <w:rFonts w:ascii="Times New Roman" w:eastAsia="Times New Roman" w:hAnsi="Times New Roman" w:cs="Times New Roman"/>
        </w:rPr>
        <w:t>combina</w:t>
      </w:r>
      <w:proofErr w:type="gramEnd"/>
      <w:r>
        <w:rPr>
          <w:rFonts w:ascii="Times New Roman" w:eastAsia="Times New Roman" w:hAnsi="Times New Roman" w:cs="Times New Roman"/>
        </w:rPr>
        <w:t xml:space="preserve"> datos de:</w:t>
      </w:r>
    </w:p>
    <w:p w14:paraId="079AC040" w14:textId="7CB8005D" w:rsidR="0087612A" w:rsidRPr="0087612A" w:rsidRDefault="0087612A" w:rsidP="0087612A">
      <w:pPr>
        <w:numPr>
          <w:ilvl w:val="0"/>
          <w:numId w:val="2"/>
        </w:numPr>
        <w:rPr>
          <w:rFonts w:ascii="Times New Roman" w:eastAsia="Times New Roman" w:hAnsi="Times New Roman" w:cs="Times New Roman"/>
          <w:lang w:val="es-CO"/>
        </w:rPr>
      </w:pPr>
      <w:r w:rsidRPr="0087612A">
        <w:rPr>
          <w:rFonts w:ascii="Times New Roman" w:eastAsia="Times New Roman" w:hAnsi="Times New Roman" w:cs="Times New Roman"/>
          <w:lang w:val="es-CO"/>
        </w:rPr>
        <w:t>DIAN/DANE (comercio exterior colombiano)</w:t>
      </w:r>
      <w:r w:rsidR="00403B8A">
        <w:rPr>
          <w:rFonts w:ascii="Times New Roman" w:eastAsia="Times New Roman" w:hAnsi="Times New Roman" w:cs="Times New Roman"/>
          <w:lang w:val="es-CO"/>
        </w:rPr>
        <w:t>.</w:t>
      </w:r>
    </w:p>
    <w:p w14:paraId="56CE02A2" w14:textId="0C10D495" w:rsidR="0087612A" w:rsidRPr="0087612A" w:rsidRDefault="0087612A" w:rsidP="0087612A">
      <w:pPr>
        <w:numPr>
          <w:ilvl w:val="0"/>
          <w:numId w:val="2"/>
        </w:numPr>
        <w:rPr>
          <w:rFonts w:ascii="Times New Roman" w:eastAsia="Times New Roman" w:hAnsi="Times New Roman" w:cs="Times New Roman"/>
          <w:lang w:val="es-CO"/>
        </w:rPr>
      </w:pPr>
      <w:r w:rsidRPr="0087612A">
        <w:rPr>
          <w:rFonts w:ascii="Times New Roman" w:eastAsia="Times New Roman" w:hAnsi="Times New Roman" w:cs="Times New Roman"/>
          <w:lang w:val="es-CO"/>
        </w:rPr>
        <w:t xml:space="preserve">CEPII </w:t>
      </w:r>
      <w:proofErr w:type="spellStart"/>
      <w:r w:rsidRPr="0087612A">
        <w:rPr>
          <w:rFonts w:ascii="Times New Roman" w:eastAsia="Times New Roman" w:hAnsi="Times New Roman" w:cs="Times New Roman"/>
          <w:lang w:val="es-CO"/>
        </w:rPr>
        <w:t>Gravity</w:t>
      </w:r>
      <w:proofErr w:type="spellEnd"/>
      <w:r w:rsidRPr="0087612A">
        <w:rPr>
          <w:rFonts w:ascii="Times New Roman" w:eastAsia="Times New Roman" w:hAnsi="Times New Roman" w:cs="Times New Roman"/>
          <w:lang w:val="es-CO"/>
        </w:rPr>
        <w:t xml:space="preserve"> </w:t>
      </w:r>
      <w:proofErr w:type="spellStart"/>
      <w:r w:rsidRPr="0087612A">
        <w:rPr>
          <w:rFonts w:ascii="Times New Roman" w:eastAsia="Times New Roman" w:hAnsi="Times New Roman" w:cs="Times New Roman"/>
          <w:lang w:val="es-CO"/>
        </w:rPr>
        <w:t>Dataset</w:t>
      </w:r>
      <w:proofErr w:type="spellEnd"/>
      <w:r w:rsidRPr="0087612A">
        <w:rPr>
          <w:rFonts w:ascii="Times New Roman" w:eastAsia="Times New Roman" w:hAnsi="Times New Roman" w:cs="Times New Roman"/>
          <w:lang w:val="es-CO"/>
        </w:rPr>
        <w:t xml:space="preserve"> (distancia, acuerdos comerciales)</w:t>
      </w:r>
      <w:r w:rsidR="00403B8A">
        <w:rPr>
          <w:rFonts w:ascii="Times New Roman" w:eastAsia="Times New Roman" w:hAnsi="Times New Roman" w:cs="Times New Roman"/>
          <w:lang w:val="es-CO"/>
        </w:rPr>
        <w:t>.</w:t>
      </w:r>
    </w:p>
    <w:p w14:paraId="7AFDB1EA" w14:textId="77777777" w:rsidR="0087612A" w:rsidRDefault="0087612A" w:rsidP="5D95252A">
      <w:pPr>
        <w:numPr>
          <w:ilvl w:val="0"/>
          <w:numId w:val="2"/>
        </w:numPr>
        <w:rPr>
          <w:rFonts w:ascii="Times New Roman" w:eastAsia="Times New Roman" w:hAnsi="Times New Roman" w:cs="Times New Roman"/>
          <w:lang w:val="es-CO"/>
        </w:rPr>
      </w:pPr>
      <w:r w:rsidRPr="0087612A">
        <w:rPr>
          <w:rFonts w:ascii="Times New Roman" w:eastAsia="Times New Roman" w:hAnsi="Times New Roman" w:cs="Times New Roman"/>
          <w:lang w:val="es-CO"/>
        </w:rPr>
        <w:t>Banco de la República (tipo de cambio).</w:t>
      </w:r>
    </w:p>
    <w:p w14:paraId="65FD487B" w14:textId="1DA9899C" w:rsidR="0087612A" w:rsidRPr="0087612A" w:rsidRDefault="0087612A" w:rsidP="5D95252A">
      <w:pPr>
        <w:numPr>
          <w:ilvl w:val="0"/>
          <w:numId w:val="2"/>
        </w:numPr>
        <w:rPr>
          <w:rFonts w:ascii="Times New Roman" w:eastAsia="Times New Roman" w:hAnsi="Times New Roman" w:cs="Times New Roman"/>
          <w:lang w:val="es-CO"/>
        </w:rPr>
      </w:pPr>
      <w:r>
        <w:rPr>
          <w:rFonts w:ascii="Times New Roman" w:eastAsia="Times New Roman" w:hAnsi="Times New Roman" w:cs="Times New Roman"/>
          <w:lang w:val="es-CO"/>
        </w:rPr>
        <w:t xml:space="preserve">UN </w:t>
      </w:r>
      <w:proofErr w:type="spellStart"/>
      <w:r>
        <w:rPr>
          <w:rFonts w:ascii="Times New Roman" w:eastAsia="Times New Roman" w:hAnsi="Times New Roman" w:cs="Times New Roman"/>
          <w:lang w:val="es-CO"/>
        </w:rPr>
        <w:t>Comtrade</w:t>
      </w:r>
      <w:proofErr w:type="spellEnd"/>
      <w:r>
        <w:rPr>
          <w:rFonts w:ascii="Times New Roman" w:eastAsia="Times New Roman" w:hAnsi="Times New Roman" w:cs="Times New Roman"/>
          <w:lang w:val="es-CO"/>
        </w:rPr>
        <w:t xml:space="preserve"> </w:t>
      </w:r>
      <w:proofErr w:type="spellStart"/>
      <w:r>
        <w:rPr>
          <w:rFonts w:ascii="Times New Roman" w:eastAsia="Times New Roman" w:hAnsi="Times New Roman" w:cs="Times New Roman"/>
          <w:lang w:val="es-CO"/>
        </w:rPr>
        <w:t>Dataset</w:t>
      </w:r>
      <w:proofErr w:type="spellEnd"/>
      <w:r w:rsidR="00403B8A">
        <w:rPr>
          <w:rFonts w:ascii="Times New Roman" w:eastAsia="Times New Roman" w:hAnsi="Times New Roman" w:cs="Times New Roman"/>
          <w:lang w:val="es-CO"/>
        </w:rPr>
        <w:t>.</w:t>
      </w:r>
    </w:p>
    <w:p w14:paraId="1BECCC5F" w14:textId="354A0CF9" w:rsidR="5D95252A" w:rsidRPr="00403B8A" w:rsidRDefault="00403B8A" w:rsidP="0087612A">
      <w:pPr>
        <w:rPr>
          <w:rFonts w:ascii="Times New Roman" w:eastAsia="Times New Roman" w:hAnsi="Times New Roman" w:cs="Times New Roman"/>
        </w:rPr>
      </w:pPr>
      <w:r>
        <w:rPr>
          <w:rFonts w:ascii="Times New Roman" w:eastAsia="Times New Roman" w:hAnsi="Times New Roman" w:cs="Times New Roman"/>
        </w:rPr>
        <w:t xml:space="preserve">La variable de interés X </w:t>
      </w:r>
      <w:proofErr w:type="spellStart"/>
      <w:r>
        <w:rPr>
          <w:rFonts w:ascii="Times New Roman" w:eastAsia="Times New Roman" w:hAnsi="Times New Roman" w:cs="Times New Roman"/>
        </w:rPr>
        <w:t>NoComb</w:t>
      </w:r>
      <w:proofErr w:type="spellEnd"/>
      <w:r>
        <w:rPr>
          <w:rFonts w:ascii="Times New Roman" w:eastAsia="Times New Roman" w:hAnsi="Times New Roman" w:cs="Times New Roman"/>
        </w:rPr>
        <w:t>, esta será definida como las exportaciones totales menos las del capítulo 27 del Sistema armonizado (</w:t>
      </w:r>
      <w:r>
        <w:rPr>
          <w:rFonts w:ascii="Times New Roman" w:eastAsia="Times New Roman" w:hAnsi="Times New Roman" w:cs="Times New Roman"/>
        </w:rPr>
        <w:t>productos minero-energéticos</w:t>
      </w:r>
      <w:r>
        <w:rPr>
          <w:rFonts w:ascii="Times New Roman" w:eastAsia="Times New Roman" w:hAnsi="Times New Roman" w:cs="Times New Roman"/>
        </w:rPr>
        <w:t xml:space="preserve">). </w:t>
      </w:r>
      <w:r w:rsidR="0087612A" w:rsidRPr="0087612A">
        <w:rPr>
          <w:rFonts w:ascii="Times New Roman" w:eastAsia="Times New Roman" w:hAnsi="Times New Roman" w:cs="Times New Roman"/>
        </w:rPr>
        <w:t xml:space="preserve">A continuación, </w:t>
      </w:r>
      <w:r w:rsidR="0087612A" w:rsidRPr="0087612A">
        <w:rPr>
          <w:rFonts w:ascii="Times New Roman" w:eastAsia="Times New Roman" w:hAnsi="Times New Roman" w:cs="Times New Roman"/>
        </w:rPr>
        <w:lastRenderedPageBreak/>
        <w:t>se presentan cinco gráficos que muestran los destinos más importantes, la tendencia y la distribución de esta variable, su relación con la distancia y la conexión entre las diferentes variables del modelo, así como se discuten sus implicaciones para la especificación econométrica posterior.</w:t>
      </w:r>
    </w:p>
    <w:p w14:paraId="109E75B7" w14:textId="59EED457" w:rsidR="256DDB8C" w:rsidRDefault="256DDB8C" w:rsidP="5D95252A">
      <w:r w:rsidRPr="5D95252A">
        <w:rPr>
          <w:rFonts w:ascii="Times New Roman" w:eastAsia="Times New Roman" w:hAnsi="Times New Roman" w:cs="Times New Roman"/>
          <w:b/>
          <w:bCs/>
          <w:color w:val="000000" w:themeColor="text1"/>
        </w:rPr>
        <w:t>Gráfico 1. Top de socios a los que Colombia más exporta no minero-energético</w:t>
      </w:r>
    </w:p>
    <w:p w14:paraId="41A0D16A" w14:textId="21509CA2" w:rsidR="256DDB8C" w:rsidRDefault="256DDB8C" w:rsidP="5D95252A">
      <w:r>
        <w:rPr>
          <w:noProof/>
        </w:rPr>
        <w:drawing>
          <wp:inline distT="0" distB="0" distL="0" distR="0" wp14:anchorId="74A48A99" wp14:editId="3AC01398">
            <wp:extent cx="4333875" cy="3252209"/>
            <wp:effectExtent l="0" t="0" r="0" b="0"/>
            <wp:docPr id="2100612638" name="drawing">
              <a:extLst xmlns:a="http://schemas.openxmlformats.org/drawingml/2006/main">
                <a:ext uri="{FF2B5EF4-FFF2-40B4-BE49-F238E27FC236}">
                  <a16:creationId xmlns:a16="http://schemas.microsoft.com/office/drawing/2014/main" id="{40607234-A9F4-43E0-9790-3279FDFA34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80553" name="Picture 960080553"/>
                    <pic:cNvPicPr/>
                  </pic:nvPicPr>
                  <pic:blipFill>
                    <a:blip r:embed="rId6">
                      <a:extLst>
                        <a:ext uri="{28A0092B-C50C-407E-A947-70E740481C1C}">
                          <a14:useLocalDpi xmlns:a14="http://schemas.microsoft.com/office/drawing/2010/main"/>
                        </a:ext>
                      </a:extLst>
                    </a:blip>
                    <a:stretch>
                      <a:fillRect/>
                    </a:stretch>
                  </pic:blipFill>
                  <pic:spPr>
                    <a:xfrm>
                      <a:off x="0" y="0"/>
                      <a:ext cx="4333875" cy="3252209"/>
                    </a:xfrm>
                    <a:prstGeom prst="rect">
                      <a:avLst/>
                    </a:prstGeom>
                  </pic:spPr>
                </pic:pic>
              </a:graphicData>
            </a:graphic>
          </wp:inline>
        </w:drawing>
      </w:r>
    </w:p>
    <w:p w14:paraId="603EDA42" w14:textId="54DA104E" w:rsidR="3DCC38A2" w:rsidRDefault="3DCC38A2" w:rsidP="5D95252A">
      <w:pPr>
        <w:rPr>
          <w:rFonts w:ascii="Times New Roman" w:eastAsia="Times New Roman" w:hAnsi="Times New Roman" w:cs="Times New Roman"/>
        </w:rPr>
      </w:pPr>
      <w:r w:rsidRPr="5D95252A">
        <w:rPr>
          <w:rFonts w:ascii="Times New Roman" w:eastAsia="Times New Roman" w:hAnsi="Times New Roman" w:cs="Times New Roman"/>
        </w:rPr>
        <w:t xml:space="preserve">Se puede evidenciar que el destino de </w:t>
      </w:r>
      <w:r w:rsidR="5E3B093A" w:rsidRPr="5D95252A">
        <w:rPr>
          <w:rFonts w:ascii="Times New Roman" w:eastAsia="Times New Roman" w:hAnsi="Times New Roman" w:cs="Times New Roman"/>
        </w:rPr>
        <w:t>mayores exportaciones</w:t>
      </w:r>
      <w:r w:rsidRPr="5D95252A">
        <w:rPr>
          <w:rFonts w:ascii="Times New Roman" w:eastAsia="Times New Roman" w:hAnsi="Times New Roman" w:cs="Times New Roman"/>
        </w:rPr>
        <w:t xml:space="preserve"> no minero </w:t>
      </w:r>
      <w:r w:rsidR="70945A21" w:rsidRPr="5D95252A">
        <w:rPr>
          <w:rFonts w:ascii="Times New Roman" w:eastAsia="Times New Roman" w:hAnsi="Times New Roman" w:cs="Times New Roman"/>
        </w:rPr>
        <w:t>energéticas</w:t>
      </w:r>
      <w:r w:rsidRPr="5D95252A">
        <w:rPr>
          <w:rFonts w:ascii="Times New Roman" w:eastAsia="Times New Roman" w:hAnsi="Times New Roman" w:cs="Times New Roman"/>
        </w:rPr>
        <w:t xml:space="preserve"> de Colombia es Estados unidos</w:t>
      </w:r>
      <w:r w:rsidR="00D355B1">
        <w:rPr>
          <w:rFonts w:ascii="Times New Roman" w:eastAsia="Times New Roman" w:hAnsi="Times New Roman" w:cs="Times New Roman"/>
        </w:rPr>
        <w:t xml:space="preserve"> (combina un PIB elevado con un tratado de libre comercio vigente desde 2012)</w:t>
      </w:r>
      <w:r w:rsidRPr="5D95252A">
        <w:rPr>
          <w:rFonts w:ascii="Times New Roman" w:eastAsia="Times New Roman" w:hAnsi="Times New Roman" w:cs="Times New Roman"/>
        </w:rPr>
        <w:t xml:space="preserve">, seguido de </w:t>
      </w:r>
      <w:r w:rsidR="565169F2" w:rsidRPr="5D95252A">
        <w:rPr>
          <w:rFonts w:ascii="Times New Roman" w:eastAsia="Times New Roman" w:hAnsi="Times New Roman" w:cs="Times New Roman"/>
        </w:rPr>
        <w:t xml:space="preserve">varios </w:t>
      </w:r>
      <w:r w:rsidR="0FDF8FEC" w:rsidRPr="5D95252A">
        <w:rPr>
          <w:rFonts w:ascii="Times New Roman" w:eastAsia="Times New Roman" w:hAnsi="Times New Roman" w:cs="Times New Roman"/>
        </w:rPr>
        <w:t>países</w:t>
      </w:r>
      <w:r w:rsidR="565169F2" w:rsidRPr="5D95252A">
        <w:rPr>
          <w:rFonts w:ascii="Times New Roman" w:eastAsia="Times New Roman" w:hAnsi="Times New Roman" w:cs="Times New Roman"/>
        </w:rPr>
        <w:t xml:space="preserve"> de </w:t>
      </w:r>
      <w:r w:rsidR="5CC8A7D8" w:rsidRPr="5D95252A">
        <w:rPr>
          <w:rFonts w:ascii="Times New Roman" w:eastAsia="Times New Roman" w:hAnsi="Times New Roman" w:cs="Times New Roman"/>
        </w:rPr>
        <w:t>América</w:t>
      </w:r>
      <w:r w:rsidR="565169F2" w:rsidRPr="5D95252A">
        <w:rPr>
          <w:rFonts w:ascii="Times New Roman" w:eastAsia="Times New Roman" w:hAnsi="Times New Roman" w:cs="Times New Roman"/>
        </w:rPr>
        <w:t xml:space="preserve"> latina</w:t>
      </w:r>
      <w:r w:rsidR="00403B8A">
        <w:rPr>
          <w:rFonts w:ascii="Times New Roman" w:eastAsia="Times New Roman" w:hAnsi="Times New Roman" w:cs="Times New Roman"/>
        </w:rPr>
        <w:t xml:space="preserve">; </w:t>
      </w:r>
      <w:r w:rsidR="565169F2" w:rsidRPr="5D95252A">
        <w:rPr>
          <w:rFonts w:ascii="Times New Roman" w:eastAsia="Times New Roman" w:hAnsi="Times New Roman" w:cs="Times New Roman"/>
        </w:rPr>
        <w:t>Ecuador, Perú</w:t>
      </w:r>
      <w:r w:rsidR="00403B8A">
        <w:rPr>
          <w:rFonts w:ascii="Times New Roman" w:eastAsia="Times New Roman" w:hAnsi="Times New Roman" w:cs="Times New Roman"/>
        </w:rPr>
        <w:t xml:space="preserve"> (</w:t>
      </w:r>
      <w:r w:rsidR="00403B8A">
        <w:rPr>
          <w:rFonts w:ascii="Times New Roman" w:eastAsia="Times New Roman" w:hAnsi="Times New Roman" w:cs="Times New Roman"/>
        </w:rPr>
        <w:t xml:space="preserve">soportado por la relación de socios de la </w:t>
      </w:r>
      <w:r w:rsidR="00403B8A">
        <w:rPr>
          <w:rFonts w:ascii="Times New Roman" w:eastAsia="Times New Roman" w:hAnsi="Times New Roman" w:cs="Times New Roman"/>
        </w:rPr>
        <w:t>C</w:t>
      </w:r>
      <w:r w:rsidR="00403B8A">
        <w:rPr>
          <w:rFonts w:ascii="Times New Roman" w:eastAsia="Times New Roman" w:hAnsi="Times New Roman" w:cs="Times New Roman"/>
        </w:rPr>
        <w:t xml:space="preserve">omunidad </w:t>
      </w:r>
      <w:r w:rsidR="00403B8A">
        <w:rPr>
          <w:rFonts w:ascii="Times New Roman" w:eastAsia="Times New Roman" w:hAnsi="Times New Roman" w:cs="Times New Roman"/>
        </w:rPr>
        <w:t>A</w:t>
      </w:r>
      <w:r w:rsidR="00403B8A">
        <w:rPr>
          <w:rFonts w:ascii="Times New Roman" w:eastAsia="Times New Roman" w:hAnsi="Times New Roman" w:cs="Times New Roman"/>
        </w:rPr>
        <w:t>ndina</w:t>
      </w:r>
      <w:r w:rsidR="00403B8A">
        <w:rPr>
          <w:rFonts w:ascii="Times New Roman" w:eastAsia="Times New Roman" w:hAnsi="Times New Roman" w:cs="Times New Roman"/>
        </w:rPr>
        <w:t>)</w:t>
      </w:r>
      <w:r w:rsidR="565169F2" w:rsidRPr="5D95252A">
        <w:rPr>
          <w:rFonts w:ascii="Times New Roman" w:eastAsia="Times New Roman" w:hAnsi="Times New Roman" w:cs="Times New Roman"/>
        </w:rPr>
        <w:t xml:space="preserve">, </w:t>
      </w:r>
      <w:r w:rsidR="62975832" w:rsidRPr="5D95252A">
        <w:rPr>
          <w:rFonts w:ascii="Times New Roman" w:eastAsia="Times New Roman" w:hAnsi="Times New Roman" w:cs="Times New Roman"/>
        </w:rPr>
        <w:t>México</w:t>
      </w:r>
      <w:r w:rsidR="565169F2" w:rsidRPr="5D95252A">
        <w:rPr>
          <w:rFonts w:ascii="Times New Roman" w:eastAsia="Times New Roman" w:hAnsi="Times New Roman" w:cs="Times New Roman"/>
        </w:rPr>
        <w:t xml:space="preserve"> y Brasil</w:t>
      </w:r>
      <w:r w:rsidR="00403B8A">
        <w:rPr>
          <w:rFonts w:ascii="Times New Roman" w:eastAsia="Times New Roman" w:hAnsi="Times New Roman" w:cs="Times New Roman"/>
        </w:rPr>
        <w:t xml:space="preserve"> </w:t>
      </w:r>
      <w:r w:rsidR="00403B8A">
        <w:rPr>
          <w:rFonts w:ascii="Times New Roman" w:eastAsia="Times New Roman" w:hAnsi="Times New Roman" w:cs="Times New Roman"/>
        </w:rPr>
        <w:t xml:space="preserve">(soportado por la relación de socios de la </w:t>
      </w:r>
      <w:r w:rsidR="00403B8A">
        <w:rPr>
          <w:rFonts w:ascii="Times New Roman" w:eastAsia="Times New Roman" w:hAnsi="Times New Roman" w:cs="Times New Roman"/>
        </w:rPr>
        <w:t>Alianza del Pacífico</w:t>
      </w:r>
      <w:r w:rsidR="00403B8A">
        <w:rPr>
          <w:rFonts w:ascii="Times New Roman" w:eastAsia="Times New Roman" w:hAnsi="Times New Roman" w:cs="Times New Roman"/>
        </w:rPr>
        <w:t>)</w:t>
      </w:r>
      <w:r w:rsidR="00403B8A">
        <w:rPr>
          <w:rFonts w:ascii="Times New Roman" w:eastAsia="Times New Roman" w:hAnsi="Times New Roman" w:cs="Times New Roman"/>
        </w:rPr>
        <w:t xml:space="preserve">. </w:t>
      </w:r>
      <w:r w:rsidR="565169F2" w:rsidRPr="5D95252A">
        <w:rPr>
          <w:rFonts w:ascii="Times New Roman" w:eastAsia="Times New Roman" w:hAnsi="Times New Roman" w:cs="Times New Roman"/>
        </w:rPr>
        <w:t xml:space="preserve">Esto es coherente con la </w:t>
      </w:r>
      <w:r w:rsidR="20112B74" w:rsidRPr="5D95252A">
        <w:rPr>
          <w:rFonts w:ascii="Times New Roman" w:eastAsia="Times New Roman" w:hAnsi="Times New Roman" w:cs="Times New Roman"/>
        </w:rPr>
        <w:t>hipótesis</w:t>
      </w:r>
      <w:r w:rsidR="565169F2" w:rsidRPr="5D95252A">
        <w:rPr>
          <w:rFonts w:ascii="Times New Roman" w:eastAsia="Times New Roman" w:hAnsi="Times New Roman" w:cs="Times New Roman"/>
        </w:rPr>
        <w:t xml:space="preserve"> del modelo gravitacional de comercio internacional: a menor distancia entre </w:t>
      </w:r>
      <w:r w:rsidR="11519E4F" w:rsidRPr="5D95252A">
        <w:rPr>
          <w:rFonts w:ascii="Times New Roman" w:eastAsia="Times New Roman" w:hAnsi="Times New Roman" w:cs="Times New Roman"/>
        </w:rPr>
        <w:t>países</w:t>
      </w:r>
      <w:r w:rsidR="565169F2" w:rsidRPr="5D95252A">
        <w:rPr>
          <w:rFonts w:ascii="Times New Roman" w:eastAsia="Times New Roman" w:hAnsi="Times New Roman" w:cs="Times New Roman"/>
        </w:rPr>
        <w:t>, mayor comercio habrá. Luego se diversifican los d</w:t>
      </w:r>
      <w:r w:rsidR="2F76F4AC" w:rsidRPr="5D95252A">
        <w:rPr>
          <w:rFonts w:ascii="Times New Roman" w:eastAsia="Times New Roman" w:hAnsi="Times New Roman" w:cs="Times New Roman"/>
        </w:rPr>
        <w:t>estinos en distintos continentes,</w:t>
      </w:r>
      <w:r w:rsidR="00D355B1">
        <w:rPr>
          <w:rFonts w:ascii="Times New Roman" w:eastAsia="Times New Roman" w:hAnsi="Times New Roman" w:cs="Times New Roman"/>
        </w:rPr>
        <w:t xml:space="preserve"> esto debido a el tamaño de las economías de los demás socios. Explicar por qué estos destinos lejanos pesan tanto es</w:t>
      </w:r>
      <w:r w:rsidR="2F76F4AC" w:rsidRPr="5D95252A">
        <w:rPr>
          <w:rFonts w:ascii="Times New Roman" w:eastAsia="Times New Roman" w:hAnsi="Times New Roman" w:cs="Times New Roman"/>
        </w:rPr>
        <w:t xml:space="preserve"> parte del tra</w:t>
      </w:r>
      <w:r w:rsidR="00D355B1">
        <w:rPr>
          <w:rFonts w:ascii="Times New Roman" w:eastAsia="Times New Roman" w:hAnsi="Times New Roman" w:cs="Times New Roman"/>
        </w:rPr>
        <w:t>bajo y uno de los objetivos del modelo.</w:t>
      </w:r>
    </w:p>
    <w:p w14:paraId="7CA287F2" w14:textId="65E2F3E4" w:rsidR="3739CA32" w:rsidRDefault="3739CA32" w:rsidP="5D95252A">
      <w:pPr>
        <w:rPr>
          <w:rFonts w:ascii="Times New Roman" w:eastAsia="Times New Roman" w:hAnsi="Times New Roman" w:cs="Times New Roman"/>
          <w:b/>
          <w:bCs/>
          <w:color w:val="000000" w:themeColor="text1"/>
        </w:rPr>
      </w:pPr>
      <w:r w:rsidRPr="5D95252A">
        <w:rPr>
          <w:rFonts w:ascii="Times New Roman" w:eastAsia="Times New Roman" w:hAnsi="Times New Roman" w:cs="Times New Roman"/>
          <w:b/>
          <w:bCs/>
          <w:color w:val="000000" w:themeColor="text1"/>
        </w:rPr>
        <w:t xml:space="preserve">Gráfico </w:t>
      </w:r>
      <w:r w:rsidR="26274916" w:rsidRPr="5D95252A">
        <w:rPr>
          <w:rFonts w:ascii="Times New Roman" w:eastAsia="Times New Roman" w:hAnsi="Times New Roman" w:cs="Times New Roman"/>
          <w:b/>
          <w:bCs/>
          <w:color w:val="000000" w:themeColor="text1"/>
        </w:rPr>
        <w:t>2</w:t>
      </w:r>
      <w:r w:rsidRPr="5D95252A">
        <w:rPr>
          <w:rFonts w:ascii="Times New Roman" w:eastAsia="Times New Roman" w:hAnsi="Times New Roman" w:cs="Times New Roman"/>
          <w:b/>
          <w:bCs/>
          <w:color w:val="000000" w:themeColor="text1"/>
        </w:rPr>
        <w:t xml:space="preserve">. Distribución de valores de </w:t>
      </w:r>
      <w:proofErr w:type="spellStart"/>
      <w:r w:rsidRPr="5D95252A">
        <w:rPr>
          <w:rFonts w:ascii="Times New Roman" w:eastAsia="Times New Roman" w:hAnsi="Times New Roman" w:cs="Times New Roman"/>
          <w:b/>
          <w:bCs/>
          <w:color w:val="000000" w:themeColor="text1"/>
        </w:rPr>
        <w:t>X_</w:t>
      </w:r>
      <w:r w:rsidR="00403B8A">
        <w:rPr>
          <w:rFonts w:ascii="Times New Roman" w:eastAsia="Times New Roman" w:hAnsi="Times New Roman" w:cs="Times New Roman"/>
          <w:b/>
          <w:bCs/>
          <w:color w:val="000000" w:themeColor="text1"/>
        </w:rPr>
        <w:t>N</w:t>
      </w:r>
      <w:r w:rsidRPr="5D95252A">
        <w:rPr>
          <w:rFonts w:ascii="Times New Roman" w:eastAsia="Times New Roman" w:hAnsi="Times New Roman" w:cs="Times New Roman"/>
          <w:b/>
          <w:bCs/>
          <w:color w:val="000000" w:themeColor="text1"/>
        </w:rPr>
        <w:t>oComb</w:t>
      </w:r>
      <w:proofErr w:type="spellEnd"/>
      <w:r w:rsidRPr="5D95252A">
        <w:rPr>
          <w:rFonts w:ascii="Times New Roman" w:eastAsia="Times New Roman" w:hAnsi="Times New Roman" w:cs="Times New Roman"/>
          <w:b/>
          <w:bCs/>
          <w:color w:val="000000" w:themeColor="text1"/>
        </w:rPr>
        <w:t xml:space="preserve"> </w:t>
      </w:r>
      <w:r w:rsidR="1B4BD38C">
        <w:rPr>
          <w:noProof/>
        </w:rPr>
        <w:drawing>
          <wp:inline distT="0" distB="0" distL="0" distR="0" wp14:anchorId="08D64C25" wp14:editId="392FF84E">
            <wp:extent cx="5724525" cy="1905000"/>
            <wp:effectExtent l="0" t="0" r="0" b="0"/>
            <wp:docPr id="547064951" name="drawing">
              <a:extLst xmlns:a="http://schemas.openxmlformats.org/drawingml/2006/main">
                <a:ext uri="{FF2B5EF4-FFF2-40B4-BE49-F238E27FC236}">
                  <a16:creationId xmlns:a16="http://schemas.microsoft.com/office/drawing/2014/main" id="{B02F74B0-CA47-49CC-B5D3-583D777669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4951" name="Picture 547064951"/>
                    <pic:cNvPicPr/>
                  </pic:nvPicPr>
                  <pic:blipFill>
                    <a:blip r:embed="rId7">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p>
    <w:p w14:paraId="7B788DA0" w14:textId="58508E89" w:rsidR="00D355B1" w:rsidRPr="00D355B1" w:rsidRDefault="00D355B1" w:rsidP="00D355B1">
      <w:pPr>
        <w:rPr>
          <w:rFonts w:ascii="Times New Roman" w:eastAsia="Times New Roman" w:hAnsi="Times New Roman" w:cs="Times New Roman"/>
          <w:lang w:val="es-CO"/>
        </w:rPr>
      </w:pPr>
      <w:r w:rsidRPr="00D355B1">
        <w:rPr>
          <w:rFonts w:ascii="Times New Roman" w:eastAsia="Times New Roman" w:hAnsi="Times New Roman" w:cs="Times New Roman"/>
          <w:lang w:val="es-CO"/>
        </w:rPr>
        <w:lastRenderedPageBreak/>
        <w:t xml:space="preserve">Como se observa en el panel izquierdo, la variable expresada en niveles presenta un fuerte sesgo hacia la derecha (asimetría positiva). Cerca de 1.200 observaciones se agrupan en el primer intervalo, en contraste con un grupo reducido que alcanza valores excepcionalmente altos. Debido a esta alta concentración y </w:t>
      </w:r>
      <w:proofErr w:type="spellStart"/>
      <w:r w:rsidRPr="00D355B1">
        <w:rPr>
          <w:rFonts w:ascii="Times New Roman" w:eastAsia="Times New Roman" w:hAnsi="Times New Roman" w:cs="Times New Roman"/>
          <w:lang w:val="es-CO"/>
        </w:rPr>
        <w:t>sobredispersión</w:t>
      </w:r>
      <w:proofErr w:type="spellEnd"/>
      <w:r w:rsidRPr="00D355B1">
        <w:rPr>
          <w:rFonts w:ascii="Times New Roman" w:eastAsia="Times New Roman" w:hAnsi="Times New Roman" w:cs="Times New Roman"/>
          <w:lang w:val="es-CO"/>
        </w:rPr>
        <w:t>, la distribución en niveles resulta poco informativa y contraviene los supuestos de un modelo de regresión lineal clásico</w:t>
      </w:r>
      <w:r>
        <w:rPr>
          <w:rFonts w:ascii="Times New Roman" w:eastAsia="Times New Roman" w:hAnsi="Times New Roman" w:cs="Times New Roman"/>
          <w:lang w:val="es-CO"/>
        </w:rPr>
        <w:t>.</w:t>
      </w:r>
    </w:p>
    <w:p w14:paraId="5ADE3C9E" w14:textId="77777777" w:rsidR="00D355B1" w:rsidRPr="00D355B1" w:rsidRDefault="00D355B1" w:rsidP="00D355B1">
      <w:pPr>
        <w:rPr>
          <w:rFonts w:ascii="Times New Roman" w:eastAsia="Times New Roman" w:hAnsi="Times New Roman" w:cs="Times New Roman"/>
          <w:lang w:val="es-CO"/>
        </w:rPr>
      </w:pPr>
      <w:r w:rsidRPr="00D355B1">
        <w:rPr>
          <w:rFonts w:ascii="Times New Roman" w:eastAsia="Times New Roman" w:hAnsi="Times New Roman" w:cs="Times New Roman"/>
          <w:lang w:val="es-CO"/>
        </w:rPr>
        <w:t>Al transformar la variable a una escala logarítmica (panel derecho), la distribución adquiere mayor simetría y abarca un rango aproximado de 0 a 16. Sin embargo, no sigue una distribución normal estricta, sino que tiene un carácter multimodal (con picos cercanos a 8, 10,5 y 13). Este comportamiento refleja la heterogeneidad intrínseca de los socios comerciales, evidenciando la mezcla de economías con capacidades de mercado muy dispares.</w:t>
      </w:r>
    </w:p>
    <w:p w14:paraId="1AC85F3B" w14:textId="44AA3D22" w:rsidR="00D355B1" w:rsidRPr="00D355B1" w:rsidRDefault="00D355B1" w:rsidP="00D355B1">
      <w:pPr>
        <w:rPr>
          <w:rFonts w:ascii="Times New Roman" w:eastAsia="Times New Roman" w:hAnsi="Times New Roman" w:cs="Times New Roman"/>
          <w:lang w:val="es-CO"/>
        </w:rPr>
      </w:pPr>
      <w:r w:rsidRPr="00D355B1">
        <w:rPr>
          <w:rFonts w:ascii="Times New Roman" w:eastAsia="Times New Roman" w:hAnsi="Times New Roman" w:cs="Times New Roman"/>
          <w:lang w:val="es-CO"/>
        </w:rPr>
        <w:t>Esto genera dos implicaciones fundamentales para la estrategia empírica. En primer lugar, la estructura de los datos exige trabajar con el logaritmo de las exportaciones o, preferiblemente, con un estimador de Pseudo Máxima Verosimilitud de Poisson (</w:t>
      </w:r>
      <w:r w:rsidRPr="00D355B1">
        <w:rPr>
          <w:rFonts w:ascii="Times New Roman" w:eastAsia="Times New Roman" w:hAnsi="Times New Roman" w:cs="Times New Roman"/>
          <w:b/>
          <w:bCs/>
          <w:lang w:val="es-CO"/>
        </w:rPr>
        <w:t>PPML</w:t>
      </w:r>
      <w:r w:rsidRPr="00D355B1">
        <w:rPr>
          <w:rFonts w:ascii="Times New Roman" w:eastAsia="Times New Roman" w:hAnsi="Times New Roman" w:cs="Times New Roman"/>
          <w:lang w:val="es-CO"/>
        </w:rPr>
        <w:t xml:space="preserve">). En segundo lugar, dado que la representación en niveles solo muestra valores positivos, los flujos comerciales nulos (pares de países sin comercio, registrados como ceros) requieren un tratamiento econométrico </w:t>
      </w:r>
      <w:r>
        <w:rPr>
          <w:rFonts w:ascii="Times New Roman" w:eastAsia="Times New Roman" w:hAnsi="Times New Roman" w:cs="Times New Roman"/>
          <w:lang w:val="es-CO"/>
        </w:rPr>
        <w:t>claro</w:t>
      </w:r>
      <w:r w:rsidRPr="00D355B1">
        <w:rPr>
          <w:rFonts w:ascii="Times New Roman" w:eastAsia="Times New Roman" w:hAnsi="Times New Roman" w:cs="Times New Roman"/>
          <w:lang w:val="es-CO"/>
        </w:rPr>
        <w:t>.</w:t>
      </w:r>
    </w:p>
    <w:p w14:paraId="3B59727C" w14:textId="77777777" w:rsidR="00D355B1" w:rsidRPr="00D355B1" w:rsidRDefault="00D355B1" w:rsidP="5D95252A">
      <w:pPr>
        <w:rPr>
          <w:rFonts w:ascii="Times New Roman" w:eastAsia="Times New Roman" w:hAnsi="Times New Roman" w:cs="Times New Roman"/>
          <w:lang w:val="es-CO"/>
        </w:rPr>
      </w:pPr>
    </w:p>
    <w:p w14:paraId="1F27CDDB" w14:textId="08BD23CB" w:rsidR="0EA6FA01" w:rsidRDefault="0EA6FA01" w:rsidP="5D95252A">
      <w:pPr>
        <w:rPr>
          <w:rFonts w:ascii="Times New Roman" w:eastAsia="Times New Roman" w:hAnsi="Times New Roman" w:cs="Times New Roman"/>
          <w:b/>
          <w:bCs/>
        </w:rPr>
      </w:pPr>
      <w:r w:rsidRPr="5D95252A">
        <w:rPr>
          <w:rFonts w:ascii="Times New Roman" w:eastAsia="Times New Roman" w:hAnsi="Times New Roman" w:cs="Times New Roman"/>
          <w:b/>
          <w:bCs/>
        </w:rPr>
        <w:t>Gráfico 3. Valor histórico de las exportaciones no minero-energéticas de Colombia por año</w:t>
      </w:r>
    </w:p>
    <w:p w14:paraId="08BB8D45" w14:textId="4A8E4DF1" w:rsidR="0EA6FA01" w:rsidRDefault="0EA6FA01" w:rsidP="5D95252A">
      <w:r>
        <w:rPr>
          <w:noProof/>
        </w:rPr>
        <w:drawing>
          <wp:inline distT="0" distB="0" distL="0" distR="0" wp14:anchorId="184B42E7" wp14:editId="1C549071">
            <wp:extent cx="5724525" cy="2857500"/>
            <wp:effectExtent l="0" t="0" r="0" b="0"/>
            <wp:docPr id="184981061" name="drawing">
              <a:extLst xmlns:a="http://schemas.openxmlformats.org/drawingml/2006/main">
                <a:ext uri="{FF2B5EF4-FFF2-40B4-BE49-F238E27FC236}">
                  <a16:creationId xmlns:a16="http://schemas.microsoft.com/office/drawing/2014/main" id="{342DE0BD-63B0-4F4E-8A37-1DD411A79F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78604" name="Picture 1079178604"/>
                    <pic:cNvPicPr/>
                  </pic:nvPicPr>
                  <pic:blipFill>
                    <a:blip r:embed="rId8">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3278F40D" w14:textId="1DAAA978" w:rsidR="4E5DA4D7" w:rsidRDefault="4E5DA4D7" w:rsidP="5D95252A">
      <w:pPr>
        <w:rPr>
          <w:rFonts w:ascii="Times New Roman" w:eastAsia="Times New Roman" w:hAnsi="Times New Roman" w:cs="Times New Roman"/>
          <w:color w:val="000000" w:themeColor="text1"/>
        </w:rPr>
      </w:pPr>
      <w:r w:rsidRPr="5D95252A">
        <w:rPr>
          <w:rFonts w:ascii="Times New Roman" w:eastAsia="Times New Roman" w:hAnsi="Times New Roman" w:cs="Times New Roman"/>
          <w:color w:val="000000" w:themeColor="text1"/>
        </w:rPr>
        <w:t>El grafico muestra que en los últimos años Colombia ha hecho un gran esfuerzo por eliminar su dependencia a los hidrocarburos y ha comenzado a exportar cada vez más productos no minero energéticos</w:t>
      </w:r>
      <w:r w:rsidR="00C564AE">
        <w:rPr>
          <w:rFonts w:ascii="Times New Roman" w:eastAsia="Times New Roman" w:hAnsi="Times New Roman" w:cs="Times New Roman"/>
          <w:color w:val="000000" w:themeColor="text1"/>
        </w:rPr>
        <w:t>. Entre 2017 y 2024,</w:t>
      </w:r>
      <w:r w:rsidR="00C564AE" w:rsidRPr="00C564AE">
        <w:rPr>
          <w:rFonts w:ascii="Times New Roman" w:eastAsia="Times New Roman" w:hAnsi="Times New Roman" w:cs="Times New Roman"/>
        </w:rPr>
        <w:t xml:space="preserve"> </w:t>
      </w:r>
      <w:r w:rsidR="00C564AE">
        <w:rPr>
          <w:rFonts w:ascii="Times New Roman" w:eastAsia="Times New Roman" w:hAnsi="Times New Roman" w:cs="Times New Roman"/>
        </w:rPr>
        <w:t xml:space="preserve">al pasar de unos 1,8×10⁷ a unos 2,7×10⁷ según el eje, un aumento cercano a 54 %. La serie es casi plana entre 2017 y 2020 y no muestra una caída en 2020; luego salta alrededor de 18 % en 2021, alcanza un máximo local en 2022, retrocede </w:t>
      </w:r>
      <w:r w:rsidR="00C564AE">
        <w:rPr>
          <w:rFonts w:ascii="Times New Roman" w:eastAsia="Times New Roman" w:hAnsi="Times New Roman" w:cs="Times New Roman"/>
        </w:rPr>
        <w:lastRenderedPageBreak/>
        <w:t>cerca de 6 % en 2023 y cierra 2024 en su nivel más alto.</w:t>
      </w:r>
      <w:r w:rsidR="00C564AE">
        <w:rPr>
          <w:rFonts w:ascii="Times New Roman" w:eastAsia="Times New Roman" w:hAnsi="Times New Roman" w:cs="Times New Roman"/>
          <w:color w:val="000000" w:themeColor="text1"/>
        </w:rPr>
        <w:t xml:space="preserve"> </w:t>
      </w:r>
      <w:r w:rsidR="00C564AE">
        <w:rPr>
          <w:rFonts w:ascii="Times New Roman" w:eastAsia="Times New Roman" w:hAnsi="Times New Roman" w:cs="Times New Roman"/>
          <w:color w:val="000000" w:themeColor="text1"/>
        </w:rPr>
        <w:t>Estas exportaciones han crecido de manera sostenida</w:t>
      </w:r>
      <w:r w:rsidR="00C564AE">
        <w:rPr>
          <w:rFonts w:ascii="Times New Roman" w:eastAsia="Times New Roman" w:hAnsi="Times New Roman" w:cs="Times New Roman"/>
          <w:color w:val="000000" w:themeColor="text1"/>
        </w:rPr>
        <w:t xml:space="preserve"> y el proyecto debe aportar a este crecimiento.</w:t>
      </w:r>
    </w:p>
    <w:p w14:paraId="70DE5906" w14:textId="7975D318" w:rsidR="00C04966" w:rsidRPr="00C04966" w:rsidRDefault="00C564AE" w:rsidP="00C04966">
      <w:pPr>
        <w:pStyle w:val="NormalWeb"/>
        <w:rPr>
          <w:color w:val="000000"/>
          <w:lang w:val="es-CO"/>
        </w:rPr>
      </w:pPr>
      <w:r w:rsidRPr="00C04966">
        <w:rPr>
          <w:color w:val="000000" w:themeColor="text1"/>
          <w:lang w:val="es-CO"/>
        </w:rPr>
        <w:t>Este grafico a pesar de mostrar una tendencia creciente, no permite afirmar q</w:t>
      </w:r>
      <w:r w:rsidR="00C04966" w:rsidRPr="00C04966">
        <w:rPr>
          <w:color w:val="000000" w:themeColor="text1"/>
          <w:lang w:val="es-CO"/>
        </w:rPr>
        <w:t>u</w:t>
      </w:r>
      <w:r w:rsidRPr="00C04966">
        <w:rPr>
          <w:color w:val="000000" w:themeColor="text1"/>
          <w:lang w:val="es-CO"/>
        </w:rPr>
        <w:t xml:space="preserve">e Colombia haya reducido su dependencia a exportar hidrocarburos. </w:t>
      </w:r>
      <w:r>
        <w:rPr>
          <w:color w:val="000000" w:themeColor="text1"/>
        </w:rPr>
        <w:t xml:space="preserve">Para </w:t>
      </w:r>
      <w:proofErr w:type="spellStart"/>
      <w:r>
        <w:rPr>
          <w:color w:val="000000" w:themeColor="text1"/>
        </w:rPr>
        <w:t>determinar</w:t>
      </w:r>
      <w:proofErr w:type="spellEnd"/>
      <w:r>
        <w:rPr>
          <w:color w:val="000000" w:themeColor="text1"/>
        </w:rPr>
        <w:t xml:space="preserve"> </w:t>
      </w:r>
      <w:proofErr w:type="spellStart"/>
      <w:r>
        <w:rPr>
          <w:color w:val="000000" w:themeColor="text1"/>
        </w:rPr>
        <w:t>esto</w:t>
      </w:r>
      <w:proofErr w:type="spellEnd"/>
      <w:r>
        <w:rPr>
          <w:color w:val="000000" w:themeColor="text1"/>
        </w:rPr>
        <w:t xml:space="preserve"> de mejor manera, se necesita la participación total de estas exportaciones, que puede crecer o no, aunque su valor aumente. </w:t>
      </w:r>
      <w:r w:rsidRPr="00C04966">
        <w:rPr>
          <w:color w:val="000000" w:themeColor="text1"/>
          <w:lang w:val="es-CO"/>
        </w:rPr>
        <w:t>Se debe mencionar que, el eje x no comienza en 0, lo que resalta visualmente el crecimiento</w:t>
      </w:r>
      <w:r w:rsidR="00C04966">
        <w:rPr>
          <w:color w:val="000000" w:themeColor="text1"/>
          <w:lang w:val="es-CO"/>
        </w:rPr>
        <w:t>. E</w:t>
      </w:r>
      <w:r w:rsidR="00C04966" w:rsidRPr="00C04966">
        <w:rPr>
          <w:color w:val="000000"/>
          <w:lang w:val="es-CO"/>
        </w:rPr>
        <w:t xml:space="preserve">l incremento registrado entre 2021 y 2022 podría estar influenciado por el efecto de los precios y el rebote económico pospandemia, más que representar exclusivamente una verdadera diversificación de la </w:t>
      </w:r>
      <w:proofErr w:type="spellStart"/>
      <w:r w:rsidR="00C04966" w:rsidRPr="00C04966">
        <w:rPr>
          <w:color w:val="000000"/>
          <w:lang w:val="es-CO"/>
        </w:rPr>
        <w:t>canast</w:t>
      </w:r>
      <w:r w:rsidR="00C04966">
        <w:rPr>
          <w:color w:val="000000"/>
          <w:lang w:val="es-CO"/>
        </w:rPr>
        <w:t>s</w:t>
      </w:r>
      <w:proofErr w:type="spellEnd"/>
      <w:r w:rsidR="00C04966" w:rsidRPr="00C04966">
        <w:rPr>
          <w:color w:val="000000"/>
          <w:lang w:val="es-CO"/>
        </w:rPr>
        <w:t xml:space="preserve"> exportadora. Por consiguiente, para obtener una perspectiva más precisa, este análisis se complementará evaluando la participación porcentual de </w:t>
      </w:r>
      <w:proofErr w:type="spellStart"/>
      <w:r w:rsidR="00C04966" w:rsidRPr="00C04966">
        <w:rPr>
          <w:color w:val="000000"/>
          <w:lang w:val="es-CO"/>
        </w:rPr>
        <w:t>X_NoComb</w:t>
      </w:r>
      <w:proofErr w:type="spellEnd"/>
      <w:r w:rsidR="00C04966" w:rsidRPr="00C04966">
        <w:rPr>
          <w:color w:val="000000"/>
          <w:lang w:val="es-CO"/>
        </w:rPr>
        <w:t xml:space="preserve"> sobre las exportaciones totales.</w:t>
      </w:r>
    </w:p>
    <w:p w14:paraId="68737459" w14:textId="1D0A3983" w:rsidR="00C564AE" w:rsidRDefault="00C564AE" w:rsidP="5D95252A"/>
    <w:p w14:paraId="604A9CBF" w14:textId="2B1091AA" w:rsidR="70B2C23B" w:rsidRDefault="70B2C23B" w:rsidP="5D95252A">
      <w:pPr>
        <w:rPr>
          <w:rFonts w:ascii="Times New Roman" w:eastAsia="Times New Roman" w:hAnsi="Times New Roman" w:cs="Times New Roman"/>
          <w:b/>
          <w:bCs/>
          <w:color w:val="000000" w:themeColor="text1"/>
        </w:rPr>
      </w:pPr>
      <w:r w:rsidRPr="5D95252A">
        <w:rPr>
          <w:rFonts w:ascii="Times New Roman" w:eastAsia="Times New Roman" w:hAnsi="Times New Roman" w:cs="Times New Roman"/>
          <w:b/>
          <w:bCs/>
          <w:color w:val="000000" w:themeColor="text1"/>
        </w:rPr>
        <w:t>Gráfico</w:t>
      </w:r>
      <w:r w:rsidR="4D63E141" w:rsidRPr="5D95252A">
        <w:rPr>
          <w:rFonts w:ascii="Times New Roman" w:eastAsia="Times New Roman" w:hAnsi="Times New Roman" w:cs="Times New Roman"/>
          <w:b/>
          <w:bCs/>
          <w:color w:val="000000" w:themeColor="text1"/>
        </w:rPr>
        <w:t xml:space="preserve"> 4</w:t>
      </w:r>
      <w:r w:rsidR="4E5DA4D7" w:rsidRPr="5D95252A">
        <w:rPr>
          <w:rFonts w:ascii="Times New Roman" w:eastAsia="Times New Roman" w:hAnsi="Times New Roman" w:cs="Times New Roman"/>
          <w:b/>
          <w:bCs/>
          <w:color w:val="000000" w:themeColor="text1"/>
        </w:rPr>
        <w:t>.</w:t>
      </w:r>
      <w:r w:rsidR="0628F46A" w:rsidRPr="5D95252A">
        <w:rPr>
          <w:rFonts w:ascii="Times New Roman" w:eastAsia="Times New Roman" w:hAnsi="Times New Roman" w:cs="Times New Roman"/>
          <w:b/>
          <w:bCs/>
          <w:color w:val="000000" w:themeColor="text1"/>
        </w:rPr>
        <w:t xml:space="preserve"> </w:t>
      </w:r>
      <w:r w:rsidR="056B5C77" w:rsidRPr="5D95252A">
        <w:rPr>
          <w:rFonts w:ascii="Times New Roman" w:eastAsia="Times New Roman" w:hAnsi="Times New Roman" w:cs="Times New Roman"/>
          <w:b/>
          <w:bCs/>
          <w:color w:val="000000" w:themeColor="text1"/>
        </w:rPr>
        <w:t>Gráfico</w:t>
      </w:r>
      <w:r w:rsidR="0628F46A" w:rsidRPr="5D95252A">
        <w:rPr>
          <w:rFonts w:ascii="Times New Roman" w:eastAsia="Times New Roman" w:hAnsi="Times New Roman" w:cs="Times New Roman"/>
          <w:b/>
          <w:bCs/>
          <w:color w:val="000000" w:themeColor="text1"/>
        </w:rPr>
        <w:t xml:space="preserve"> de </w:t>
      </w:r>
      <w:r w:rsidR="4F9A4394" w:rsidRPr="5D95252A">
        <w:rPr>
          <w:rFonts w:ascii="Times New Roman" w:eastAsia="Times New Roman" w:hAnsi="Times New Roman" w:cs="Times New Roman"/>
          <w:b/>
          <w:bCs/>
          <w:color w:val="000000" w:themeColor="text1"/>
        </w:rPr>
        <w:t>dispersión</w:t>
      </w:r>
      <w:r w:rsidR="0628F46A" w:rsidRPr="5D95252A">
        <w:rPr>
          <w:rFonts w:ascii="Times New Roman" w:eastAsia="Times New Roman" w:hAnsi="Times New Roman" w:cs="Times New Roman"/>
          <w:b/>
          <w:bCs/>
          <w:color w:val="000000" w:themeColor="text1"/>
        </w:rPr>
        <w:t xml:space="preserve"> relacionando la distancia y el logaritmo de exportaciones de Colombia</w:t>
      </w:r>
    </w:p>
    <w:p w14:paraId="6515A6E4" w14:textId="61DFDDC2" w:rsidR="09A92BD9" w:rsidRDefault="09A92BD9" w:rsidP="5D95252A">
      <w:r>
        <w:rPr>
          <w:noProof/>
        </w:rPr>
        <w:drawing>
          <wp:inline distT="0" distB="0" distL="0" distR="0" wp14:anchorId="581B640B" wp14:editId="4292E463">
            <wp:extent cx="5724525" cy="4086225"/>
            <wp:effectExtent l="0" t="0" r="0" b="0"/>
            <wp:docPr id="1229905997" name="drawing">
              <a:extLst xmlns:a="http://schemas.openxmlformats.org/drawingml/2006/main">
                <a:ext uri="{FF2B5EF4-FFF2-40B4-BE49-F238E27FC236}">
                  <a16:creationId xmlns:a16="http://schemas.microsoft.com/office/drawing/2014/main" id="{36DAAA32-62D7-4EF2-9C44-FF53E08352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13020" name="Picture 918913020"/>
                    <pic:cNvPicPr/>
                  </pic:nvPicPr>
                  <pic:blipFill>
                    <a:blip r:embed="rId9">
                      <a:extLst>
                        <a:ext uri="{28A0092B-C50C-407E-A947-70E740481C1C}">
                          <a14:useLocalDpi xmlns:a14="http://schemas.microsoft.com/office/drawing/2010/main"/>
                        </a:ext>
                      </a:extLst>
                    </a:blip>
                    <a:stretch>
                      <a:fillRect/>
                    </a:stretch>
                  </pic:blipFill>
                  <pic:spPr>
                    <a:xfrm>
                      <a:off x="0" y="0"/>
                      <a:ext cx="5724525" cy="4086225"/>
                    </a:xfrm>
                    <a:prstGeom prst="rect">
                      <a:avLst/>
                    </a:prstGeom>
                  </pic:spPr>
                </pic:pic>
              </a:graphicData>
            </a:graphic>
          </wp:inline>
        </w:drawing>
      </w:r>
    </w:p>
    <w:p w14:paraId="768C9613" w14:textId="2BEBBA3C" w:rsidR="00C04966" w:rsidRPr="00C04966" w:rsidRDefault="7A0C99D5" w:rsidP="00C04966">
      <w:pPr>
        <w:pStyle w:val="NormalWeb"/>
        <w:rPr>
          <w:color w:val="000000"/>
          <w:lang w:val="es-CO"/>
        </w:rPr>
      </w:pPr>
      <w:r w:rsidRPr="5D95252A">
        <w:rPr>
          <w:color w:val="000000" w:themeColor="text1"/>
        </w:rPr>
        <w:t>El grafico no logra captar una relación clara entre la distancia entre Colombia y los demás países y el valor de exportación hacia esos destinos.</w:t>
      </w:r>
      <w:r w:rsidR="00C04966">
        <w:rPr>
          <w:color w:val="000000" w:themeColor="text1"/>
        </w:rPr>
        <w:t xml:space="preserve"> </w:t>
      </w:r>
      <w:r w:rsidR="00C04966" w:rsidRPr="00C04966">
        <w:rPr>
          <w:color w:val="000000" w:themeColor="text1"/>
          <w:lang w:val="es-CO"/>
        </w:rPr>
        <w:t>Sin embargo</w:t>
      </w:r>
      <w:r w:rsidR="00C04966" w:rsidRPr="00C04966">
        <w:rPr>
          <w:color w:val="000000"/>
          <w:lang w:val="es-CO"/>
        </w:rPr>
        <w:t xml:space="preserve">, es posible identificar un patrón empírico relevante. Los valores superiores a 14 en la variable log(1 + exportación) se concentran exclusivamente en destinos ubicados a menos de 5.000 km. A distancias mayores, el límite superior de la dispersión tiende a descender, si bien existen algunas excepciones atípicas en torno a los 15.000 km. Pese a esta tendencia, la dispersión es notable en todos los rangos: incluso a distancias inferiores a 2.500 km coexisten registros cercanos a 6 y a 14. </w:t>
      </w:r>
      <w:r w:rsidR="00C04966" w:rsidRPr="00C04966">
        <w:rPr>
          <w:color w:val="000000"/>
          <w:lang w:val="es-CO"/>
        </w:rPr>
        <w:lastRenderedPageBreak/>
        <w:t>Esto constata que la distancia, de manera aislada, es insuficiente para explicar la dinámica comercial, un hallazgo que es coherente con la correlación negativa y moderada (-0,18) reportada en el gráfico 5.</w:t>
      </w:r>
    </w:p>
    <w:p w14:paraId="0A66510A" w14:textId="77777777" w:rsidR="00C04966" w:rsidRPr="00C04966" w:rsidRDefault="00C04966" w:rsidP="00C04966">
      <w:pPr>
        <w:pStyle w:val="NormalWeb"/>
        <w:rPr>
          <w:color w:val="000000"/>
          <w:lang w:val="es-CO"/>
        </w:rPr>
      </w:pPr>
      <w:r w:rsidRPr="00C04966">
        <w:rPr>
          <w:color w:val="000000"/>
          <w:lang w:val="es-CO"/>
        </w:rPr>
        <w:t xml:space="preserve">Sobre esta visualización, cabe hacer dos precisiones analíticas. En primer lugar, la formación de franjas verticales responde a la estructura de panel de los datos (el mismo país es observado a lo largo de varios años), lo que implica que las observaciones no son estrictamente independientes; además, el gráfico ilustra únicamente los flujos comerciales estrictamente positivos. En segundo lugar, de acuerdo con los fundamentos de la ecuación de gravedad, el efecto de la fricción de la distancia opera de forma condicional al tamaño económico del destino. Dado que esta representación </w:t>
      </w:r>
      <w:proofErr w:type="spellStart"/>
      <w:r w:rsidRPr="00C04966">
        <w:rPr>
          <w:color w:val="000000"/>
          <w:lang w:val="es-CO"/>
        </w:rPr>
        <w:t>bivariada</w:t>
      </w:r>
      <w:proofErr w:type="spellEnd"/>
      <w:r w:rsidRPr="00C04966">
        <w:rPr>
          <w:color w:val="000000"/>
          <w:lang w:val="es-CO"/>
        </w:rPr>
        <w:t xml:space="preserve"> no controla por dicha magnitud, la verdadera relación estructural solo podrá evaluarse rigurosamente mediante la estimación del modelo multivariado posterior."</w:t>
      </w:r>
    </w:p>
    <w:p w14:paraId="31A4C4C5" w14:textId="123FA2F5" w:rsidR="7A0C99D5" w:rsidRDefault="7A0C99D5" w:rsidP="5D95252A"/>
    <w:p w14:paraId="298E4C32" w14:textId="450735F5" w:rsidR="7A0C99D5" w:rsidRDefault="7A0C99D5" w:rsidP="5D95252A">
      <w:pPr>
        <w:rPr>
          <w:rFonts w:ascii="Times New Roman" w:eastAsia="Times New Roman" w:hAnsi="Times New Roman" w:cs="Times New Roman"/>
          <w:b/>
          <w:bCs/>
          <w:color w:val="000000" w:themeColor="text1"/>
        </w:rPr>
      </w:pPr>
      <w:r w:rsidRPr="5D95252A">
        <w:rPr>
          <w:rFonts w:ascii="Times New Roman" w:eastAsia="Times New Roman" w:hAnsi="Times New Roman" w:cs="Times New Roman"/>
          <w:b/>
          <w:bCs/>
          <w:color w:val="000000" w:themeColor="text1"/>
        </w:rPr>
        <w:t>Gráfico 5. Correlación entre las variables del modelo</w:t>
      </w:r>
    </w:p>
    <w:p w14:paraId="7548BD35" w14:textId="5C269A79" w:rsidR="7A0C99D5" w:rsidRDefault="7A0C99D5" w:rsidP="5D95252A">
      <w:r>
        <w:rPr>
          <w:noProof/>
        </w:rPr>
        <w:drawing>
          <wp:inline distT="0" distB="0" distL="0" distR="0" wp14:anchorId="4BBF9450" wp14:editId="67E515A4">
            <wp:extent cx="5724525" cy="4905375"/>
            <wp:effectExtent l="0" t="0" r="0" b="0"/>
            <wp:docPr id="826361242" name="drawing">
              <a:extLst xmlns:a="http://schemas.openxmlformats.org/drawingml/2006/main">
                <a:ext uri="{FF2B5EF4-FFF2-40B4-BE49-F238E27FC236}">
                  <a16:creationId xmlns:a16="http://schemas.microsoft.com/office/drawing/2014/main" id="{3344EC25-8F1A-4A5F-8E91-3B0329933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20431" name="Picture 1384120431"/>
                    <pic:cNvPicPr/>
                  </pic:nvPicPr>
                  <pic:blipFill>
                    <a:blip r:embed="rId10">
                      <a:extLst>
                        <a:ext uri="{28A0092B-C50C-407E-A947-70E740481C1C}">
                          <a14:useLocalDpi xmlns:a14="http://schemas.microsoft.com/office/drawing/2010/main"/>
                        </a:ext>
                      </a:extLst>
                    </a:blip>
                    <a:stretch>
                      <a:fillRect/>
                    </a:stretch>
                  </pic:blipFill>
                  <pic:spPr>
                    <a:xfrm>
                      <a:off x="0" y="0"/>
                      <a:ext cx="5724525" cy="4905375"/>
                    </a:xfrm>
                    <a:prstGeom prst="rect">
                      <a:avLst/>
                    </a:prstGeom>
                  </pic:spPr>
                </pic:pic>
              </a:graphicData>
            </a:graphic>
          </wp:inline>
        </w:drawing>
      </w:r>
    </w:p>
    <w:p w14:paraId="5ED60077" w14:textId="0A0BAC13" w:rsidR="00087486" w:rsidRPr="00087486" w:rsidRDefault="00087486" w:rsidP="00087486">
      <w:pPr>
        <w:pStyle w:val="NormalWeb"/>
        <w:rPr>
          <w:color w:val="000000"/>
          <w:lang w:val="es-CO"/>
        </w:rPr>
      </w:pPr>
      <w:r w:rsidRPr="00087486">
        <w:rPr>
          <w:color w:val="000000"/>
          <w:lang w:val="es-CO"/>
        </w:rPr>
        <w:t>Al examinar la matriz de asociación, el vínculo más fuerte de</w:t>
      </w:r>
      <w:r w:rsidRPr="00087486">
        <w:rPr>
          <w:rStyle w:val="apple-converted-space"/>
          <w:color w:val="000000"/>
          <w:lang w:val="es-CO"/>
        </w:rPr>
        <w:t> </w:t>
      </w:r>
      <w:proofErr w:type="spellStart"/>
      <w:r w:rsidRPr="00087486">
        <w:rPr>
          <w:color w:val="000000"/>
          <w:lang w:val="es-CO"/>
        </w:rPr>
        <w:t>X</w:t>
      </w:r>
      <w:r w:rsidRPr="00087486">
        <w:rPr>
          <w:b/>
          <w:bCs/>
          <w:color w:val="000000"/>
          <w:lang w:val="es-CO"/>
        </w:rPr>
        <w:t>_</w:t>
      </w:r>
      <w:r w:rsidRPr="00087486">
        <w:rPr>
          <w:color w:val="000000"/>
          <w:lang w:val="es-CO"/>
        </w:rPr>
        <w:t>NoComb</w:t>
      </w:r>
      <w:proofErr w:type="spellEnd"/>
      <w:r w:rsidRPr="00087486">
        <w:rPr>
          <w:rStyle w:val="apple-converted-space"/>
          <w:color w:val="000000"/>
          <w:lang w:val="es-CO"/>
        </w:rPr>
        <w:t> </w:t>
      </w:r>
      <w:r w:rsidRPr="00087486">
        <w:rPr>
          <w:color w:val="000000"/>
          <w:lang w:val="es-CO"/>
        </w:rPr>
        <w:t>se encuentra con el PIB del país destino (0,79). Este hallazgo empírico respalda de manera robusta la noción de "masa económica" que es parte</w:t>
      </w:r>
      <w:r w:rsidRPr="00087486">
        <w:rPr>
          <w:rStyle w:val="apple-converted-space"/>
          <w:color w:val="000000"/>
          <w:lang w:val="es-CO"/>
        </w:rPr>
        <w:t> </w:t>
      </w:r>
      <w:r w:rsidRPr="00087486">
        <w:rPr>
          <w:color w:val="000000"/>
          <w:lang w:val="es-CO"/>
        </w:rPr>
        <w:t>del</w:t>
      </w:r>
      <w:r w:rsidRPr="00087486">
        <w:rPr>
          <w:b/>
          <w:bCs/>
          <w:color w:val="000000"/>
          <w:lang w:val="es-CO"/>
        </w:rPr>
        <w:t xml:space="preserve"> </w:t>
      </w:r>
      <w:r w:rsidRPr="00087486">
        <w:rPr>
          <w:color w:val="000000"/>
          <w:lang w:val="es-CO"/>
        </w:rPr>
        <w:t>modelo</w:t>
      </w:r>
      <w:r>
        <w:rPr>
          <w:b/>
          <w:bCs/>
          <w:color w:val="000000"/>
          <w:lang w:val="es-CO"/>
        </w:rPr>
        <w:t xml:space="preserve"> </w:t>
      </w:r>
      <w:r w:rsidRPr="00087486">
        <w:rPr>
          <w:color w:val="000000"/>
          <w:lang w:val="es-CO"/>
        </w:rPr>
        <w:t xml:space="preserve">gravitacional. En cuanto a las otras variables, las </w:t>
      </w:r>
      <w:r w:rsidRPr="00087486">
        <w:rPr>
          <w:color w:val="000000"/>
          <w:lang w:val="es-CO"/>
        </w:rPr>
        <w:lastRenderedPageBreak/>
        <w:t>correlaciones muestran los signos teóricos esperados, aunque con intensidades que oscilan entre débiles y moderadas: distancia (-0,18), contigüidad (0,25), duración de acuerdos comerciales (0,29)</w:t>
      </w:r>
      <w:r w:rsidRPr="00087486">
        <w:rPr>
          <w:rStyle w:val="apple-converted-space"/>
          <w:color w:val="000000"/>
          <w:lang w:val="es-CO"/>
        </w:rPr>
        <w:t> </w:t>
      </w:r>
      <w:r w:rsidRPr="00087486">
        <w:rPr>
          <w:color w:val="000000"/>
          <w:lang w:val="es-CO"/>
        </w:rPr>
        <w:t>e</w:t>
      </w:r>
      <w:r w:rsidRPr="00087486">
        <w:rPr>
          <w:b/>
          <w:bCs/>
          <w:color w:val="000000"/>
          <w:lang w:val="es-CO"/>
        </w:rPr>
        <w:t xml:space="preserve"> </w:t>
      </w:r>
      <w:r w:rsidRPr="00087486">
        <w:rPr>
          <w:color w:val="000000"/>
          <w:lang w:val="es-CO"/>
        </w:rPr>
        <w:t>idioma</w:t>
      </w:r>
      <w:r w:rsidRPr="00087486">
        <w:rPr>
          <w:rStyle w:val="apple-converted-space"/>
          <w:color w:val="000000"/>
          <w:lang w:val="es-CO"/>
        </w:rPr>
        <w:t> </w:t>
      </w:r>
      <w:r w:rsidRPr="00087486">
        <w:rPr>
          <w:color w:val="000000"/>
          <w:lang w:val="es-CO"/>
        </w:rPr>
        <w:t>oficial común (0,15). Por otro lado, la variable de conexión colonial (0,04) resulta prácticamente despreciable en relación con los flujos de exportación.</w:t>
      </w:r>
    </w:p>
    <w:p w14:paraId="52DCAC85" w14:textId="013BF41D" w:rsidR="00087486" w:rsidRPr="00087486" w:rsidRDefault="00087486" w:rsidP="00087486">
      <w:pPr>
        <w:pStyle w:val="NormalWeb"/>
        <w:rPr>
          <w:color w:val="000000"/>
          <w:lang w:val="es-CO"/>
        </w:rPr>
      </w:pPr>
      <w:r w:rsidRPr="00087486">
        <w:rPr>
          <w:color w:val="000000"/>
          <w:lang w:val="es-CO"/>
        </w:rPr>
        <w:t>Al considerar las variables explicativas entre sí, la mayor relación lineal se presenta entre la distancia y el idioma compartido (-0,51), lo cual es un fenómeno geográfico natural, dado que los principales socios de habla hispana de Colombia se localizan en una misma área. Las demás correlaciones cruzadas son inferiores a 0,35 en valor absoluto, y el PIB es esencialmente autónomo respecto a las demás covariables. Dado que no hay relación que supere los umbrales críticos de severa multicolinealidad (normalmente &gt; 0,80), es posible introducir todo el conjunto de regresores a la vez en la especificación. Al respecto, se deben considerar dos aspectos: primero, una</w:t>
      </w:r>
      <w:r w:rsidRPr="00087486">
        <w:rPr>
          <w:rStyle w:val="apple-converted-space"/>
          <w:color w:val="000000"/>
          <w:lang w:val="es-CO"/>
        </w:rPr>
        <w:t> </w:t>
      </w:r>
      <w:r w:rsidRPr="00087486">
        <w:rPr>
          <w:color w:val="000000"/>
          <w:lang w:val="es-CO"/>
        </w:rPr>
        <w:t>fuerte</w:t>
      </w:r>
      <w:r w:rsidRPr="00087486">
        <w:rPr>
          <w:b/>
          <w:bCs/>
          <w:color w:val="000000"/>
          <w:lang w:val="es-CO"/>
        </w:rPr>
        <w:t xml:space="preserve"> </w:t>
      </w:r>
      <w:r w:rsidRPr="00087486">
        <w:rPr>
          <w:color w:val="000000"/>
          <w:lang w:val="es-CO"/>
        </w:rPr>
        <w:t>correlación</w:t>
      </w:r>
      <w:r w:rsidRPr="00087486">
        <w:rPr>
          <w:rStyle w:val="apple-converted-space"/>
          <w:color w:val="000000"/>
          <w:lang w:val="es-CO"/>
        </w:rPr>
        <w:t> </w:t>
      </w:r>
      <w:r w:rsidRPr="00087486">
        <w:rPr>
          <w:color w:val="000000"/>
          <w:lang w:val="es-CO"/>
        </w:rPr>
        <w:t>de los regresores con la variable dependiente es una característica positiva (indica potencial predictivo); segundo, la falta de asociación del vínculo colonial se debe a la mínima variación de esta variable</w:t>
      </w:r>
      <w:r>
        <w:rPr>
          <w:rStyle w:val="apple-converted-space"/>
          <w:color w:val="000000"/>
          <w:lang w:val="es-CO"/>
        </w:rPr>
        <w:t xml:space="preserve"> </w:t>
      </w:r>
      <w:proofErr w:type="spellStart"/>
      <w:r>
        <w:rPr>
          <w:rStyle w:val="apple-converted-space"/>
          <w:color w:val="000000"/>
          <w:lang w:val="es-CO"/>
        </w:rPr>
        <w:t>dummy</w:t>
      </w:r>
      <w:proofErr w:type="spellEnd"/>
      <w:r>
        <w:rPr>
          <w:rStyle w:val="apple-converted-space"/>
          <w:color w:val="000000"/>
          <w:lang w:val="es-CO"/>
        </w:rPr>
        <w:t xml:space="preserve"> </w:t>
      </w:r>
      <w:r w:rsidRPr="00087486">
        <w:rPr>
          <w:color w:val="000000"/>
          <w:lang w:val="es-CO"/>
        </w:rPr>
        <w:t>en el caso colombiano (asume el valor de 1 solo en una pequeña parte de la muestra), lo cual anticipa un alto error estándar y una estimación de su parámetro con baja exactitud.</w:t>
      </w:r>
    </w:p>
    <w:p w14:paraId="76D35B9B" w14:textId="77777777" w:rsidR="00087486" w:rsidRPr="00087486" w:rsidRDefault="00087486" w:rsidP="00087486">
      <w:pPr>
        <w:pStyle w:val="NormalWeb"/>
        <w:rPr>
          <w:color w:val="000000"/>
          <w:lang w:val="es-CO"/>
        </w:rPr>
      </w:pPr>
      <w:r w:rsidRPr="00087486">
        <w:rPr>
          <w:b/>
          <w:bCs/>
          <w:color w:val="000000"/>
          <w:lang w:val="es-CO"/>
        </w:rPr>
        <w:t>Hallazgos preliminares y plan metodológico</w:t>
      </w:r>
    </w:p>
    <w:p w14:paraId="256E3BBA" w14:textId="77777777" w:rsidR="00087486" w:rsidRPr="00087486" w:rsidRDefault="00087486" w:rsidP="00087486">
      <w:pPr>
        <w:pStyle w:val="NormalWeb"/>
        <w:rPr>
          <w:color w:val="000000"/>
          <w:lang w:val="es-CO"/>
        </w:rPr>
      </w:pPr>
      <w:r w:rsidRPr="00087486">
        <w:rPr>
          <w:color w:val="000000"/>
          <w:lang w:val="es-CO"/>
        </w:rPr>
        <w:t>El análisis exploratorio conduce a tres conclusiones clave:</w:t>
      </w:r>
    </w:p>
    <w:p w14:paraId="10F61023" w14:textId="77777777" w:rsidR="00087486" w:rsidRPr="00087486" w:rsidRDefault="00087486" w:rsidP="00087486">
      <w:pPr>
        <w:pStyle w:val="NormalWeb"/>
        <w:numPr>
          <w:ilvl w:val="0"/>
          <w:numId w:val="3"/>
        </w:numPr>
        <w:rPr>
          <w:color w:val="000000"/>
          <w:lang w:val="es-CO"/>
        </w:rPr>
      </w:pPr>
      <w:r w:rsidRPr="00087486">
        <w:rPr>
          <w:color w:val="000000"/>
          <w:lang w:val="es-CO"/>
        </w:rPr>
        <w:t>Las exportaciones que no pertenecen al sector minero-energético muestran una alta concentración hacia Estados Unidos y hacia ciertos polos regionales, complementadas por una participación significativa en mercados europeos y asiáticos.</w:t>
      </w:r>
    </w:p>
    <w:p w14:paraId="4AD5BFB8" w14:textId="77777777" w:rsidR="00087486" w:rsidRPr="00087486" w:rsidRDefault="00087486" w:rsidP="00087486">
      <w:pPr>
        <w:pStyle w:val="NormalWeb"/>
        <w:numPr>
          <w:ilvl w:val="0"/>
          <w:numId w:val="3"/>
        </w:numPr>
        <w:rPr>
          <w:color w:val="000000"/>
          <w:lang w:val="es-CO"/>
        </w:rPr>
      </w:pPr>
      <w:r w:rsidRPr="00087486">
        <w:rPr>
          <w:color w:val="000000"/>
          <w:lang w:val="es-CO"/>
        </w:rPr>
        <w:t>La asimetría de la variable dependiente y la existencia de pares sin comercio requieren abandonar especificaciones lineales estrictas en favor del estimador</w:t>
      </w:r>
      <w:r w:rsidRPr="00087486">
        <w:rPr>
          <w:rStyle w:val="apple-converted-space"/>
          <w:color w:val="000000"/>
          <w:lang w:val="es-CO"/>
        </w:rPr>
        <w:t> </w:t>
      </w:r>
      <w:r w:rsidRPr="00087486">
        <w:rPr>
          <w:color w:val="000000"/>
          <w:lang w:val="es-CO"/>
        </w:rPr>
        <w:t>PPML</w:t>
      </w:r>
      <w:r w:rsidRPr="00087486">
        <w:rPr>
          <w:rStyle w:val="apple-converted-space"/>
          <w:color w:val="000000"/>
          <w:lang w:val="es-CO"/>
        </w:rPr>
        <w:t> </w:t>
      </w:r>
      <w:r w:rsidRPr="00087486">
        <w:rPr>
          <w:color w:val="000000"/>
          <w:lang w:val="es-CO"/>
        </w:rPr>
        <w:t>para asegurar una inferencia imparcial (insesgada).</w:t>
      </w:r>
    </w:p>
    <w:p w14:paraId="0528C7BF" w14:textId="77777777" w:rsidR="00087486" w:rsidRPr="00087486" w:rsidRDefault="00087486" w:rsidP="00087486">
      <w:pPr>
        <w:pStyle w:val="NormalWeb"/>
        <w:numPr>
          <w:ilvl w:val="0"/>
          <w:numId w:val="3"/>
        </w:numPr>
        <w:rPr>
          <w:color w:val="000000"/>
          <w:lang w:val="es-CO"/>
        </w:rPr>
      </w:pPr>
      <w:r w:rsidRPr="00087486">
        <w:rPr>
          <w:color w:val="000000"/>
          <w:lang w:val="es-CO"/>
        </w:rPr>
        <w:t>El PIB del destino se establece como el principal indicador, la distancia actúa con el signo esperado en el análisis bivariado, y la ausencia de multicolinealidad permite retener todos los regresores relacionados con la gravedad.</w:t>
      </w:r>
    </w:p>
    <w:p w14:paraId="08838BF5" w14:textId="77777777" w:rsidR="00087486" w:rsidRPr="00087486" w:rsidRDefault="00087486" w:rsidP="00087486">
      <w:pPr>
        <w:pStyle w:val="NormalWeb"/>
        <w:rPr>
          <w:color w:val="000000"/>
          <w:lang w:val="es-CO"/>
        </w:rPr>
      </w:pPr>
      <w:r w:rsidRPr="00087486">
        <w:rPr>
          <w:color w:val="000000"/>
          <w:lang w:val="es-CO"/>
        </w:rPr>
        <w:t>Como observación metodológica, es importante aclarar que</w:t>
      </w:r>
      <w:r w:rsidRPr="00087486">
        <w:rPr>
          <w:rStyle w:val="apple-converted-space"/>
          <w:color w:val="000000"/>
          <w:lang w:val="es-CO"/>
        </w:rPr>
        <w:t> </w:t>
      </w:r>
      <w:proofErr w:type="spellStart"/>
      <w:r w:rsidRPr="00087486">
        <w:rPr>
          <w:color w:val="000000"/>
          <w:lang w:val="es-CO"/>
        </w:rPr>
        <w:t>X_NoComb</w:t>
      </w:r>
      <w:proofErr w:type="spellEnd"/>
      <w:r w:rsidRPr="00087486">
        <w:rPr>
          <w:rStyle w:val="apple-converted-space"/>
          <w:color w:val="000000"/>
          <w:lang w:val="es-CO"/>
        </w:rPr>
        <w:t> </w:t>
      </w:r>
      <w:r w:rsidRPr="00087486">
        <w:rPr>
          <w:color w:val="000000"/>
          <w:lang w:val="es-CO"/>
        </w:rPr>
        <w:t>se centra únicamente en el capítulo 27 del</w:t>
      </w:r>
      <w:r w:rsidRPr="00087486">
        <w:rPr>
          <w:rStyle w:val="apple-converted-space"/>
          <w:color w:val="000000"/>
          <w:lang w:val="es-CO"/>
        </w:rPr>
        <w:t> </w:t>
      </w:r>
      <w:r w:rsidRPr="00087486">
        <w:rPr>
          <w:color w:val="000000"/>
          <w:lang w:val="es-CO"/>
        </w:rPr>
        <w:t>Sistema</w:t>
      </w:r>
      <w:r w:rsidRPr="00087486">
        <w:rPr>
          <w:b/>
          <w:bCs/>
          <w:color w:val="000000"/>
          <w:lang w:val="es-CO"/>
        </w:rPr>
        <w:t xml:space="preserve"> </w:t>
      </w:r>
      <w:r w:rsidRPr="00087486">
        <w:rPr>
          <w:color w:val="000000"/>
          <w:lang w:val="es-CO"/>
        </w:rPr>
        <w:t>Armonizado</w:t>
      </w:r>
      <w:r w:rsidRPr="00087486">
        <w:rPr>
          <w:rStyle w:val="apple-converted-space"/>
          <w:color w:val="000000"/>
          <w:lang w:val="es-CO"/>
        </w:rPr>
        <w:t> </w:t>
      </w:r>
      <w:r w:rsidRPr="00087486">
        <w:rPr>
          <w:color w:val="000000"/>
          <w:lang w:val="es-CO"/>
        </w:rPr>
        <w:t>(combustibles). Por lo tanto, algunos bienes minerales agrupados en diferentes</w:t>
      </w:r>
      <w:r w:rsidRPr="00087486">
        <w:rPr>
          <w:rStyle w:val="apple-converted-space"/>
          <w:color w:val="000000"/>
          <w:lang w:val="es-CO"/>
        </w:rPr>
        <w:t> </w:t>
      </w:r>
      <w:r w:rsidRPr="00087486">
        <w:rPr>
          <w:color w:val="000000"/>
          <w:lang w:val="es-CO"/>
        </w:rPr>
        <w:t>capítulos</w:t>
      </w:r>
      <w:r w:rsidRPr="00087486">
        <w:rPr>
          <w:b/>
          <w:bCs/>
          <w:color w:val="000000"/>
          <w:lang w:val="es-CO"/>
        </w:rPr>
        <w:t xml:space="preserve"> </w:t>
      </w:r>
      <w:r w:rsidRPr="00087486">
        <w:rPr>
          <w:color w:val="000000"/>
          <w:lang w:val="es-CO"/>
        </w:rPr>
        <w:t>podrían</w:t>
      </w:r>
      <w:r w:rsidRPr="00087486">
        <w:rPr>
          <w:rStyle w:val="apple-converted-space"/>
          <w:color w:val="000000"/>
          <w:lang w:val="es-CO"/>
        </w:rPr>
        <w:t> </w:t>
      </w:r>
      <w:r w:rsidRPr="00087486">
        <w:rPr>
          <w:color w:val="000000"/>
          <w:lang w:val="es-CO"/>
        </w:rPr>
        <w:t>estar presentes en la métrica, lo que requerirá una revisión minuciosa de su composición. Los pasos siguientes en el estudio incluirán la estimación formal del modelo de gravedad y el cálculo del "comercio potencial" —definido como la diferencia residual entre los flujos teóricos estimados y los observados— con el objetivo de identificar de manera sistemática a los socios y productos con mayor oportunidad de crecimiento.</w:t>
      </w:r>
    </w:p>
    <w:p w14:paraId="68DA1F06" w14:textId="44E98EC3" w:rsidR="00B0446C" w:rsidRDefault="00B0446C" w:rsidP="00087486">
      <w:pPr>
        <w:jc w:val="both"/>
        <w:rPr>
          <w:color w:val="000000" w:themeColor="text1"/>
        </w:rPr>
      </w:pPr>
    </w:p>
    <w:sectPr w:rsidR="00B044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237CD7"/>
    <w:multiLevelType w:val="hybridMultilevel"/>
    <w:tmpl w:val="07A8F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9D0C6F"/>
    <w:multiLevelType w:val="multilevel"/>
    <w:tmpl w:val="3EB0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1B140B"/>
    <w:multiLevelType w:val="multilevel"/>
    <w:tmpl w:val="3D4A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ED47FC"/>
    <w:multiLevelType w:val="multilevel"/>
    <w:tmpl w:val="B03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89690">
    <w:abstractNumId w:val="1"/>
  </w:num>
  <w:num w:numId="2" w16cid:durableId="31610948">
    <w:abstractNumId w:val="3"/>
  </w:num>
  <w:num w:numId="3" w16cid:durableId="1247762993">
    <w:abstractNumId w:val="2"/>
  </w:num>
  <w:num w:numId="4" w16cid:durableId="12172791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5155CE"/>
    <w:rsid w:val="00087486"/>
    <w:rsid w:val="002B25F2"/>
    <w:rsid w:val="00403B8A"/>
    <w:rsid w:val="0048275B"/>
    <w:rsid w:val="008661D4"/>
    <w:rsid w:val="0087612A"/>
    <w:rsid w:val="008A7251"/>
    <w:rsid w:val="00974580"/>
    <w:rsid w:val="009C01DD"/>
    <w:rsid w:val="00A65414"/>
    <w:rsid w:val="00AA3010"/>
    <w:rsid w:val="00B0446C"/>
    <w:rsid w:val="00BC5A45"/>
    <w:rsid w:val="00C04966"/>
    <w:rsid w:val="00C316DA"/>
    <w:rsid w:val="00C564AE"/>
    <w:rsid w:val="00D355B1"/>
    <w:rsid w:val="00D42302"/>
    <w:rsid w:val="00DE3BE0"/>
    <w:rsid w:val="00EE6468"/>
    <w:rsid w:val="01329D7D"/>
    <w:rsid w:val="01CA1B96"/>
    <w:rsid w:val="02C4EB4F"/>
    <w:rsid w:val="04A17E01"/>
    <w:rsid w:val="04FFBF0B"/>
    <w:rsid w:val="054ACBD6"/>
    <w:rsid w:val="056B5C77"/>
    <w:rsid w:val="0628F46A"/>
    <w:rsid w:val="09A92BD9"/>
    <w:rsid w:val="0B90BA64"/>
    <w:rsid w:val="0BC1A39D"/>
    <w:rsid w:val="0DC50EE0"/>
    <w:rsid w:val="0EA6FA01"/>
    <w:rsid w:val="0FDDA6F7"/>
    <w:rsid w:val="0FDF8FEC"/>
    <w:rsid w:val="11519E4F"/>
    <w:rsid w:val="1958F0CC"/>
    <w:rsid w:val="1A02BA4D"/>
    <w:rsid w:val="1B4BD38C"/>
    <w:rsid w:val="20112B74"/>
    <w:rsid w:val="2349AF7F"/>
    <w:rsid w:val="24286D55"/>
    <w:rsid w:val="256DDB8C"/>
    <w:rsid w:val="26274916"/>
    <w:rsid w:val="2846B445"/>
    <w:rsid w:val="2AAB1200"/>
    <w:rsid w:val="2C74563A"/>
    <w:rsid w:val="2C9E5AB8"/>
    <w:rsid w:val="2D673419"/>
    <w:rsid w:val="2F76F4AC"/>
    <w:rsid w:val="3061A831"/>
    <w:rsid w:val="30D71E6F"/>
    <w:rsid w:val="33B00EE3"/>
    <w:rsid w:val="370C7C1D"/>
    <w:rsid w:val="3739CA32"/>
    <w:rsid w:val="373D5151"/>
    <w:rsid w:val="389103AE"/>
    <w:rsid w:val="3BC6E3CE"/>
    <w:rsid w:val="3DCC38A2"/>
    <w:rsid w:val="401E65B4"/>
    <w:rsid w:val="414E75D7"/>
    <w:rsid w:val="4373FF16"/>
    <w:rsid w:val="43AA3ADA"/>
    <w:rsid w:val="448CF785"/>
    <w:rsid w:val="45F8221F"/>
    <w:rsid w:val="47FC394A"/>
    <w:rsid w:val="4801B1CE"/>
    <w:rsid w:val="4BADF931"/>
    <w:rsid w:val="4BC8E6DC"/>
    <w:rsid w:val="4C1B0F7E"/>
    <w:rsid w:val="4D50442C"/>
    <w:rsid w:val="4D63E141"/>
    <w:rsid w:val="4E5DA4D7"/>
    <w:rsid w:val="4EA175A9"/>
    <w:rsid w:val="4F9A4394"/>
    <w:rsid w:val="524D3C89"/>
    <w:rsid w:val="554F575E"/>
    <w:rsid w:val="565169F2"/>
    <w:rsid w:val="5898F3D8"/>
    <w:rsid w:val="5CC8A7D8"/>
    <w:rsid w:val="5D95252A"/>
    <w:rsid w:val="5E3B093A"/>
    <w:rsid w:val="5F61F4E7"/>
    <w:rsid w:val="5F64A07D"/>
    <w:rsid w:val="5FD5559D"/>
    <w:rsid w:val="62975832"/>
    <w:rsid w:val="652F0548"/>
    <w:rsid w:val="6644B4C7"/>
    <w:rsid w:val="665EF901"/>
    <w:rsid w:val="666C7993"/>
    <w:rsid w:val="6EA644CE"/>
    <w:rsid w:val="70945A21"/>
    <w:rsid w:val="70B2C23B"/>
    <w:rsid w:val="74A6A905"/>
    <w:rsid w:val="779DC3FE"/>
    <w:rsid w:val="785DAFF0"/>
    <w:rsid w:val="7861DD6F"/>
    <w:rsid w:val="7A0C99D5"/>
    <w:rsid w:val="7A5155CE"/>
    <w:rsid w:val="7A92E705"/>
    <w:rsid w:val="7AA7C1DA"/>
    <w:rsid w:val="7D20E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8D91AA"/>
  <w15:chartTrackingRefBased/>
  <w15:docId w15:val="{F0560231-E67A-D143-A612-612CFC95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4966"/>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087486"/>
  </w:style>
  <w:style w:type="paragraph" w:styleId="ListParagraph">
    <w:name w:val="List Paragraph"/>
    <w:basedOn w:val="Normal"/>
    <w:uiPriority w:val="34"/>
    <w:qFormat/>
    <w:rsid w:val="009C01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Linares Medina</dc:creator>
  <cp:keywords/>
  <dc:description/>
  <cp:lastModifiedBy>Juan Esteban Roa Rodriguez</cp:lastModifiedBy>
  <cp:revision>2</cp:revision>
  <dcterms:created xsi:type="dcterms:W3CDTF">2026-10-02T04:43:00Z</dcterms:created>
  <dcterms:modified xsi:type="dcterms:W3CDTF">2026-10-02T04:43:00Z</dcterms:modified>
</cp:coreProperties>
</file>