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80"/>
        <w:gridCol w:w="4155"/>
        <w:tblGridChange w:id="0">
          <w:tblGrid>
            <w:gridCol w:w="4080"/>
            <w:gridCol w:w="4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requerimiento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  <w:t xml:space="preserve">Registro de usuario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  <w:t xml:space="preserve">Crear un usuario que sea capaz de ver el apartado de productos donados.</w:t>
            </w:r>
          </w:p>
        </w:tc>
      </w:tr>
      <w:tr>
        <w:trPr>
          <w:trHeight w:val="27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  <w:t xml:space="preserve">Una vez descargo la app y este se ejecute, aparece la opción de iniciar sesión o de registrarse para cada tipo de usuario, se dará la opción de hacerlo rellenando ciertos campos obligatorios como nombre, apellido, telefono, documento, entre otros, para la realización o puede registrarse mediante Gmail, Hotmail, Outlook (automáticamente se subirá el correo o Gmail y nombre, aunque el usuario puede poner uno al gusto)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  <w:t xml:space="preserve">Formulario de registro</w:t>
            </w:r>
          </w:p>
        </w:tc>
      </w:tr>
      <w:tr>
        <w:trPr>
          <w:trHeight w:val="12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  <w:t xml:space="preserve">Mensaje de bienvenida al correo/Gmail</w:t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  <w:t xml:space="preserve">Redirección a la interfaz principal de la app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2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25"/>
        <w:gridCol w:w="4140"/>
        <w:tblGridChange w:id="0">
          <w:tblGrid>
            <w:gridCol w:w="4125"/>
            <w:gridCol w:w="414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requerimiento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  <w:t xml:space="preserve">Autentificación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  <w:t xml:space="preserve">Inicio de Sesión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  <w:t xml:space="preserve">Una vez el usuario ya registrado, debe diligenciar en los respectivos campos y dar en iniciar sesión 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  <w:t xml:space="preserve">Credenciales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  <w:t xml:space="preserve">Redirección a la interfaz principal de la app.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80"/>
        <w:gridCol w:w="4155"/>
        <w:tblGridChange w:id="0">
          <w:tblGrid>
            <w:gridCol w:w="4080"/>
            <w:gridCol w:w="4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requerimiento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  <w:t xml:space="preserve">Tipo producto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  <w:t xml:space="preserve">Clasificar los productos dependiendo si es comestible o no</w:t>
            </w:r>
          </w:p>
        </w:tc>
      </w:tr>
      <w:tr>
        <w:trPr>
          <w:trHeight w:val="27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  <w:t xml:space="preserve">Al iniciar sesión el usuario será redirigido al home del aplicativo donde podrá observar distintos productos y también filtrarlos según su categoría si son o no comestibles  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  <w:t xml:space="preserve">Home del aplicativo</w:t>
            </w:r>
          </w:p>
        </w:tc>
      </w:tr>
      <w:tr>
        <w:trPr>
          <w:trHeight w:val="12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  <w:t xml:space="preserve">Casilla búsqueda</w:t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  <w:t xml:space="preserve">Botón filtrar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