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Arquitectura Teórica y Vulnerabilidades Sistémicas en Servicios Clandestinos de Reestablecimiento de Identidad: Proyecto "Tabula Rasa"</w:t>
      </w:r>
    </w:p>
    <w:p w:rsidR="00000000" w:rsidDel="00000000" w:rsidP="00000000" w:rsidRDefault="00000000" w:rsidRPr="00000000" w14:paraId="00000002">
      <w:pPr>
        <w:widowControl w:val="0"/>
        <w:spacing w:after="240" w:line="275.9999942779541" w:lineRule="auto"/>
        <w:jc w:val="both"/>
        <w:rPr>
          <w:color w:val="1f1f1f"/>
        </w:rPr>
      </w:pPr>
      <w:r w:rsidDel="00000000" w:rsidR="00000000" w:rsidRPr="00000000">
        <w:rPr>
          <w:color w:val="1f1f1f"/>
          <w:rtl w:val="0"/>
        </w:rPr>
        <w:t xml:space="preserve">La conceptualización de una infraestructura tecnológica, logística y operativa orientada a la "desaparición y reestablecimiento de identidad" exige un análisis sumamente riguroso y multidisciplinario que converja la Inteligencia de Fuentes Abiertas (OSINT), la criptografía avanzada, la ingeniería social sistémica y el diseño de arquitecturas orientadas a la privacidad (Privacy by Design). Históricamente, la capacidad de reubicar, asegurar y dotar de una nueva identidad funcional a un individuo en riesgo crítico ha sido un monopolio exclusivo de los Estados, típicamente instrumentalizado a través de programas federales o nacionales de protección de testigos. Sin embargo, las deficiencias documentadas en estos sistemas gubernamentales—arraigadas en la burocracia, la falta de interoperabilidad interinstitucional y la obsolescencia tecnológica—sumadas a la hiperconectividad global y la proliferación de la cibervigilancia estatal y corporativa, han generado un inmenso vacío operativo. Este vacío ha comenzado a ser explotado tanto por el mercado gris corporativo como por ecosistemas cibercriminales altamente sofisticados.</w:t>
      </w:r>
    </w:p>
    <w:p w:rsidR="00000000" w:rsidDel="00000000" w:rsidP="00000000" w:rsidRDefault="00000000" w:rsidRPr="00000000" w14:paraId="00000003">
      <w:pPr>
        <w:widowControl w:val="0"/>
        <w:spacing w:after="240" w:line="275.9999942779541" w:lineRule="auto"/>
        <w:jc w:val="both"/>
        <w:rPr>
          <w:color w:val="1f1f1f"/>
        </w:rPr>
      </w:pPr>
      <w:r w:rsidDel="00000000" w:rsidR="00000000" w:rsidRPr="00000000">
        <w:rPr>
          <w:color w:val="1f1f1f"/>
          <w:rtl w:val="0"/>
        </w:rPr>
        <w:t xml:space="preserve">El proyecto académico "Tabula Rasa" plantea el diseño teórico de un servicio clandestino privatizado, estructurado para brindar extracción física y digital a individuos en peligro extremo, superando las metodologías arcaicas de los Estados. El presente documento de investigación exhaustiva examina en profundidad las vulnerabilidades estructurales en los sistemas de registro civil globales, las bases de datos gubernamentales, las redes de protección institucionales y las infraestructuras de biometría urbana. A través de la evaluación de casos históricos contemporáneos, vectores de ataque modernos impulsados por inteligencia artificial y protocolos criptográficos de conocimiento cero (Zero-Knowledge), se define el marco teórico y la arquitectura defensiva/ofensiva para la construcción de un sistema descentralizado. Este sistema abarca desde la fase de contacto inicial inrastreable y la evasión biométrica, hasta la consolidación de una identidad sintética madura, asegurando una resiliencia criptográfica y operativa contra adversarios de nivel estatal.</w:t>
      </w:r>
    </w:p>
    <w:p w:rsidR="00000000" w:rsidDel="00000000" w:rsidP="00000000" w:rsidRDefault="00000000" w:rsidRPr="00000000" w14:paraId="00000004">
      <w:pPr>
        <w:pStyle w:val="Heading2"/>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1. Análisis del Mercado de la "Desaparición" y Casos de Estudio Históricos</w:t>
      </w:r>
    </w:p>
    <w:p w:rsidR="00000000" w:rsidDel="00000000" w:rsidP="00000000" w:rsidRDefault="00000000" w:rsidRPr="00000000" w14:paraId="00000005">
      <w:pPr>
        <w:widowControl w:val="0"/>
        <w:spacing w:after="240" w:line="275.9999942779541" w:lineRule="auto"/>
        <w:jc w:val="both"/>
        <w:rPr>
          <w:color w:val="1f1f1f"/>
        </w:rPr>
      </w:pPr>
      <w:r w:rsidDel="00000000" w:rsidR="00000000" w:rsidRPr="00000000">
        <w:rPr>
          <w:color w:val="1f1f1f"/>
          <w:rtl w:val="0"/>
        </w:rPr>
        <w:t xml:space="preserve">El estudio del mercado de la desaparición, tanto voluntaria como forzada por circunstancias extremas, revela una demanda inelástica impulsada por profundas presiones socioculturales, riesgos legales o amenazas inminentes a la integridad física. La evaluación comparativa de los modelos existentes permite perfilar las brechas operativas y los cuellos de botella que un servicio privatizado de alta seguridad ("Tabula Rasa") debe solventar y automatizar.</w:t>
      </w:r>
    </w:p>
    <w:p w:rsidR="00000000" w:rsidDel="00000000" w:rsidP="00000000" w:rsidRDefault="00000000" w:rsidRPr="00000000" w14:paraId="00000006">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El Fenómeno Jouhatsu y la Viabilidad Comercial de la Desaparición</w:t>
      </w:r>
    </w:p>
    <w:p w:rsidR="00000000" w:rsidDel="00000000" w:rsidP="00000000" w:rsidRDefault="00000000" w:rsidRPr="00000000" w14:paraId="00000007">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En la sociedad de Japón, el fenómeno sociocultural de los </w:t>
      </w:r>
      <w:r w:rsidDel="00000000" w:rsidR="00000000" w:rsidRPr="00000000">
        <w:rPr>
          <w:i w:val="1"/>
          <w:iCs w:val="1"/>
          <w:color w:val="1f1f1f"/>
          <w:rtl w:val="0"/>
        </w:rPr>
        <w:t xml:space="preserve">Jouhatsu</w:t>
      </w:r>
      <w:r w:rsidDel="00000000" w:rsidR="00000000" w:rsidRPr="00000000">
        <w:rPr>
          <w:color w:val="1f1f1f"/>
          <w:rtl w:val="0"/>
        </w:rPr>
        <w:t xml:space="preserve"> (traducido literalmente como "personas evaporadas") ilustra de manera contundente la viabilidad comercial y logística de los servicios de extracción en sociedades hiperdesarrolladas. Se estima que, anualmente, aproximadamente 100.000 personas desaparecen en el archipiélago nipón sin dejar rastro.</w:t>
      </w:r>
      <w:r w:rsidDel="00000000" w:rsidR="00000000" w:rsidRPr="00000000">
        <w:rPr>
          <w:color w:val="444746"/>
          <w:sz w:val="24"/>
          <w:szCs w:val="24"/>
          <w:vertAlign w:val="superscript"/>
          <w:rtl w:val="0"/>
        </w:rPr>
        <w:t xml:space="preserve">1</w:t>
      </w:r>
      <w:r w:rsidDel="00000000" w:rsidR="00000000" w:rsidRPr="00000000">
        <w:rPr>
          <w:color w:val="1f1f1f"/>
          <w:rtl w:val="0"/>
        </w:rPr>
        <w:t xml:space="preserve"> Este volumen masivo de demanda ha catalizado la consolidación y profesionalización de las </w:t>
      </w:r>
      <w:r w:rsidDel="00000000" w:rsidR="00000000" w:rsidRPr="00000000">
        <w:rPr>
          <w:i w:val="1"/>
          <w:iCs w:val="1"/>
          <w:color w:val="1f1f1f"/>
          <w:rtl w:val="0"/>
        </w:rPr>
        <w:t xml:space="preserve">Yonige-ya</w:t>
      </w:r>
      <w:r w:rsidDel="00000000" w:rsidR="00000000" w:rsidRPr="00000000">
        <w:rPr>
          <w:color w:val="1f1f1f"/>
          <w:rtl w:val="0"/>
        </w:rPr>
        <w:t xml:space="preserve">, o "empresas de mudanzas nocturnas" (Fly-by-Night shops), las cuales operan en una zona gris tanto legal como logística.</w:t>
      </w:r>
      <w:r w:rsidDel="00000000" w:rsidR="00000000" w:rsidRPr="00000000">
        <w:rPr>
          <w:color w:val="444746"/>
          <w:sz w:val="24"/>
          <w:szCs w:val="24"/>
          <w:vertAlign w:val="superscript"/>
          <w:rtl w:val="0"/>
        </w:rPr>
        <w:t xml:space="preserve">2</w:t>
      </w:r>
    </w:p>
    <w:p w:rsidR="00000000" w:rsidDel="00000000" w:rsidP="00000000" w:rsidRDefault="00000000" w:rsidRPr="00000000" w14:paraId="00000008">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modelo de negocio de estas entidades se basa en la prestación de servicios logísticos encubiertos de extracción rápida, con tarifas que oscilan desde los 450 hasta los 2.600 dólares estadounidenses (equivalentes a 50.000 - 300.000 yenes), dependiendo exponencialmente de la complejidad de la extracción, el volumen de bienes a trasladar, el horario de la operación y el papeleo necesario.</w:t>
      </w:r>
      <w:r w:rsidDel="00000000" w:rsidR="00000000" w:rsidRPr="00000000">
        <w:rPr>
          <w:color w:val="444746"/>
          <w:sz w:val="24"/>
          <w:szCs w:val="24"/>
          <w:vertAlign w:val="superscript"/>
          <w:rtl w:val="0"/>
        </w:rPr>
        <w:t xml:space="preserve">4</w:t>
      </w:r>
      <w:r w:rsidDel="00000000" w:rsidR="00000000" w:rsidRPr="00000000">
        <w:rPr>
          <w:color w:val="1f1f1f"/>
          <w:rtl w:val="0"/>
        </w:rPr>
        <w:t xml:space="preserve"> Las </w:t>
      </w:r>
      <w:r w:rsidDel="00000000" w:rsidR="00000000" w:rsidRPr="00000000">
        <w:rPr>
          <w:i w:val="1"/>
          <w:iCs w:val="1"/>
          <w:color w:val="1f1f1f"/>
          <w:rtl w:val="0"/>
        </w:rPr>
        <w:t xml:space="preserve">Yonige-ya</w:t>
      </w:r>
      <w:r w:rsidDel="00000000" w:rsidR="00000000" w:rsidRPr="00000000">
        <w:rPr>
          <w:color w:val="1f1f1f"/>
          <w:rtl w:val="0"/>
        </w:rPr>
        <w:t xml:space="preserve"> no se limitan al simple transporte físico de enseres; su propuesta de valor fundamental radica en la desvinculación sistémica del cliente respecto a su entorno anterior. Esto incluye la gestión meticulosa de correos redireccionados, la provisión de alojamientos temporales no registrados a su nombre, y la asistencia legal para evadir a cobradores de deudas.</w:t>
      </w:r>
      <w:r w:rsidDel="00000000" w:rsidR="00000000" w:rsidRPr="00000000">
        <w:rPr>
          <w:color w:val="444746"/>
          <w:sz w:val="24"/>
          <w:szCs w:val="24"/>
          <w:vertAlign w:val="superscript"/>
          <w:rtl w:val="0"/>
        </w:rPr>
        <w:t xml:space="preserve">2</w:t>
      </w:r>
    </w:p>
    <w:p w:rsidR="00000000" w:rsidDel="00000000" w:rsidP="00000000" w:rsidRDefault="00000000" w:rsidRPr="00000000" w14:paraId="00000009">
      <w:pPr>
        <w:widowControl w:val="0"/>
        <w:spacing w:after="240" w:line="275.9999942779541" w:lineRule="auto"/>
        <w:jc w:val="both"/>
        <w:rPr>
          <w:color w:val="1f1f1f"/>
        </w:rPr>
      </w:pPr>
      <w:r w:rsidDel="00000000" w:rsidR="00000000" w:rsidRPr="00000000">
        <w:rPr>
          <w:color w:val="1f1f1f"/>
          <w:rtl w:val="0"/>
        </w:rPr>
        <w:t xml:space="preserve">La etiología del fenómeno </w:t>
      </w:r>
      <w:r w:rsidDel="00000000" w:rsidR="00000000" w:rsidRPr="00000000">
        <w:rPr>
          <w:i w:val="1"/>
          <w:iCs w:val="1"/>
          <w:color w:val="1f1f1f"/>
          <w:rtl w:val="0"/>
        </w:rPr>
        <w:t xml:space="preserve">Jouhatsu</w:t>
      </w:r>
      <w:r w:rsidDel="00000000" w:rsidR="00000000" w:rsidRPr="00000000">
        <w:rPr>
          <w:color w:val="1f1f1f"/>
          <w:rtl w:val="0"/>
        </w:rPr>
        <w:t xml:space="preserve"> (y su precedente histórico </w:t>
      </w:r>
      <w:r w:rsidDel="00000000" w:rsidR="00000000" w:rsidRPr="00000000">
        <w:rPr>
          <w:i w:val="1"/>
          <w:iCs w:val="1"/>
          <w:color w:val="1f1f1f"/>
          <w:rtl w:val="0"/>
        </w:rPr>
        <w:t xml:space="preserve">Kamikakushi</w:t>
      </w:r>
      <w:r w:rsidDel="00000000" w:rsidR="00000000" w:rsidRPr="00000000">
        <w:rPr>
          <w:color w:val="1f1f1f"/>
          <w:rtl w:val="0"/>
        </w:rPr>
        <w:t xml:space="preserve">, o "espiritado por los dioses") está profundamente arraigada en la cultura del </w:t>
      </w:r>
      <w:r w:rsidDel="00000000" w:rsidR="00000000" w:rsidRPr="00000000">
        <w:rPr>
          <w:i w:val="1"/>
          <w:iCs w:val="1"/>
          <w:color w:val="1f1f1f"/>
          <w:rtl w:val="0"/>
        </w:rPr>
        <w:t xml:space="preserve">Sekentei</w:t>
      </w:r>
      <w:r w:rsidDel="00000000" w:rsidR="00000000" w:rsidRPr="00000000">
        <w:rPr>
          <w:color w:val="1f1f1f"/>
          <w:rtl w:val="0"/>
        </w:rPr>
        <w:t xml:space="preserve">, una obsesión sociológica por mantener las apariencias, donde el orgullo y el honor priman sobre todo.</w:t>
      </w:r>
      <w:r w:rsidDel="00000000" w:rsidR="00000000" w:rsidRPr="00000000">
        <w:rPr>
          <w:color w:val="444746"/>
          <w:sz w:val="24"/>
          <w:szCs w:val="24"/>
          <w:vertAlign w:val="superscript"/>
          <w:rtl w:val="0"/>
        </w:rPr>
        <w:t xml:space="preserve">3</w:t>
      </w:r>
      <w:r w:rsidDel="00000000" w:rsidR="00000000" w:rsidRPr="00000000">
        <w:rPr>
          <w:color w:val="1f1f1f"/>
          <w:rtl w:val="0"/>
        </w:rPr>
        <w:t xml:space="preserve"> Las extremas presiones laborales que llevan al </w:t>
      </w:r>
      <w:r w:rsidDel="00000000" w:rsidR="00000000" w:rsidRPr="00000000">
        <w:rPr>
          <w:i w:val="1"/>
          <w:iCs w:val="1"/>
          <w:color w:val="1f1f1f"/>
          <w:rtl w:val="0"/>
        </w:rPr>
        <w:t xml:space="preserve">karoshi</w:t>
      </w:r>
      <w:r w:rsidDel="00000000" w:rsidR="00000000" w:rsidRPr="00000000">
        <w:rPr>
          <w:color w:val="1f1f1f"/>
          <w:rtl w:val="0"/>
        </w:rPr>
        <w:t xml:space="preserve"> (muerte por exceso de trabajo), el fracaso financiero o el divorcio generan una carga de vergüenza tal que el individuo opta por la aniquilación de su identidad social.</w:t>
      </w:r>
      <w:r w:rsidDel="00000000" w:rsidR="00000000" w:rsidRPr="00000000">
        <w:rPr>
          <w:color w:val="444746"/>
          <w:sz w:val="24"/>
          <w:szCs w:val="24"/>
          <w:vertAlign w:val="superscript"/>
          <w:rtl w:val="0"/>
        </w:rPr>
        <w:t xml:space="preserve">1</w:t>
      </w:r>
      <w:r w:rsidDel="00000000" w:rsidR="00000000" w:rsidRPr="00000000">
        <w:rPr>
          <w:color w:val="1f1f1f"/>
          <w:rtl w:val="0"/>
        </w:rPr>
        <w:t xml:space="preserve"> Desde una perspectiva de ingeniería de servicios para "Tabula Rasa", la existencia legal y abierta de las </w:t>
      </w:r>
      <w:r w:rsidDel="00000000" w:rsidR="00000000" w:rsidRPr="00000000">
        <w:rPr>
          <w:i w:val="1"/>
          <w:iCs w:val="1"/>
          <w:color w:val="1f1f1f"/>
          <w:rtl w:val="0"/>
        </w:rPr>
        <w:t xml:space="preserve">Yonige-ya</w:t>
      </w:r>
      <w:r w:rsidDel="00000000" w:rsidR="00000000" w:rsidRPr="00000000">
        <w:rPr>
          <w:color w:val="1f1f1f"/>
          <w:rtl w:val="0"/>
        </w:rPr>
        <w:t xml:space="preserve"> demuestra un precedente jurídico crítico: siempre y cuando la empresa no asista explícitamente en la comisión de un delito penal tipificado, la facilitación logística de una desaparición voluntaria en medio de la noche no infringe las normativas vigentes en ciertas jurisdicciones.</w:t>
      </w:r>
      <w:r w:rsidDel="00000000" w:rsidR="00000000" w:rsidRPr="00000000">
        <w:rPr>
          <w:color w:val="444746"/>
          <w:sz w:val="24"/>
          <w:szCs w:val="24"/>
          <w:vertAlign w:val="superscript"/>
          <w:rtl w:val="0"/>
        </w:rPr>
        <w:t xml:space="preserve">5</w:t>
      </w:r>
      <w:r w:rsidDel="00000000" w:rsidR="00000000" w:rsidRPr="00000000">
        <w:rPr>
          <w:color w:val="1f1f1f"/>
          <w:rtl w:val="0"/>
        </w:rPr>
        <w:t xml:space="preserve"> Este modelo dicta la necesidad de un servicio privatizado que emule esta legalidad periférica, pero elevándola con un blindaje tecnológico global.</w:t>
      </w:r>
    </w:p>
    <w:p w:rsidR="00000000" w:rsidDel="00000000" w:rsidP="00000000" w:rsidRDefault="00000000" w:rsidRPr="00000000" w14:paraId="0000000A">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Vulnerabilidades Sistémicas en Programas Estatales de Protección de Testigos</w:t>
      </w:r>
    </w:p>
    <w:p w:rsidR="00000000" w:rsidDel="00000000" w:rsidP="00000000" w:rsidRDefault="00000000" w:rsidRPr="00000000" w14:paraId="0000000B">
      <w:pPr>
        <w:widowControl w:val="0"/>
        <w:spacing w:after="240" w:line="275.9999942779541" w:lineRule="auto"/>
        <w:jc w:val="both"/>
        <w:rPr>
          <w:color w:val="1f1f1f"/>
        </w:rPr>
      </w:pPr>
      <w:r w:rsidDel="00000000" w:rsidR="00000000" w:rsidRPr="00000000">
        <w:rPr>
          <w:color w:val="1f1f1f"/>
          <w:rtl w:val="0"/>
        </w:rPr>
        <w:t xml:space="preserve">Los programas estatales, concebidos originariamente para salvaguardar a individuos críticos para el sistema judicial en la lucha contra el crimen organizado, presentan vulnerabilidades arquitectónicas, burocráticas y tecnológicas que comprometen su viabilidad. El Programa Federal de Seguridad de Testigos de los Estados Unidos (WITSEC), administrado por el U.S. Marshals Service (USMS) desde su creación en 1970, ha gestionado a más de 7.500 testigos y 9.600 familiares u asociados.</w:t>
      </w:r>
      <w:r w:rsidDel="00000000" w:rsidR="00000000" w:rsidRPr="00000000">
        <w:rPr>
          <w:color w:val="444746"/>
          <w:sz w:val="24"/>
          <w:szCs w:val="24"/>
          <w:vertAlign w:val="superscript"/>
          <w:rtl w:val="0"/>
        </w:rPr>
        <w:t xml:space="preserve">6</w:t>
      </w:r>
      <w:r w:rsidDel="00000000" w:rsidR="00000000" w:rsidRPr="00000000">
        <w:rPr>
          <w:color w:val="1f1f1f"/>
          <w:rtl w:val="0"/>
        </w:rPr>
        <w:t xml:space="preserve"> Pese a ser el modelo fundacional a nivel mundial, auditorías y brechas informáticas han expuesto fallos sistémicos severos.</w:t>
      </w:r>
    </w:p>
    <w:p w:rsidR="00000000" w:rsidDel="00000000" w:rsidP="00000000" w:rsidRDefault="00000000" w:rsidRPr="00000000" w14:paraId="0000000C">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Una auditoría crítica publicada en 2013 por el Inspector General del Departamento de Justicia (DOJ) reveló vulnerabilidades inaceptables de seguridad nacional en el WITSEC.</w:t>
      </w:r>
      <w:r w:rsidDel="00000000" w:rsidR="00000000" w:rsidRPr="00000000">
        <w:rPr>
          <w:color w:val="444746"/>
          <w:sz w:val="24"/>
          <w:szCs w:val="24"/>
          <w:vertAlign w:val="superscript"/>
          <w:rtl w:val="0"/>
        </w:rPr>
        <w:t xml:space="preserve">7</w:t>
      </w:r>
      <w:r w:rsidDel="00000000" w:rsidR="00000000" w:rsidRPr="00000000">
        <w:rPr>
          <w:color w:val="1f1f1f"/>
          <w:rtl w:val="0"/>
        </w:rPr>
        <w:t xml:space="preserve"> La deficiencia arquitectónica principal radicaba en la fragmentación de la información (silos de datos): el DOJ falló repetidamente en reportar las nuevas identidades gubernamentales de ciertos testigos protegidos, vinculados al terrorismo, al Terrorist Screening Center (TSC).</w:t>
      </w:r>
      <w:r w:rsidDel="00000000" w:rsidR="00000000" w:rsidRPr="00000000">
        <w:rPr>
          <w:color w:val="444746"/>
          <w:sz w:val="24"/>
          <w:szCs w:val="24"/>
          <w:vertAlign w:val="superscript"/>
          <w:rtl w:val="0"/>
        </w:rPr>
        <w:t xml:space="preserve">7</w:t>
      </w:r>
      <w:r w:rsidDel="00000000" w:rsidR="00000000" w:rsidRPr="00000000">
        <w:rPr>
          <w:color w:val="1f1f1f"/>
          <w:rtl w:val="0"/>
        </w:rPr>
        <w:t xml:space="preserve"> Como resultado directo de esta falta de interoperabilidad, el gobierno perdió la capacidad de monitorear el tráfico aéreo comercial de estos individuos.</w:t>
      </w:r>
      <w:r w:rsidDel="00000000" w:rsidR="00000000" w:rsidRPr="00000000">
        <w:rPr>
          <w:color w:val="444746"/>
          <w:sz w:val="24"/>
          <w:szCs w:val="24"/>
          <w:vertAlign w:val="superscript"/>
          <w:rtl w:val="0"/>
        </w:rPr>
        <w:t xml:space="preserve">7</w:t>
      </w:r>
      <w:r w:rsidDel="00000000" w:rsidR="00000000" w:rsidRPr="00000000">
        <w:rPr>
          <w:color w:val="1f1f1f"/>
          <w:rtl w:val="0"/>
        </w:rPr>
        <w:t xml:space="preserve"> Las consecuencias operativas fueron desastrosas; en julio de 2012, el USMS admitió haber perdido el rastro de dos exparticipantes del programa catalogados como sospechosos de terrorismo, sin poder determinar cuánto tiempo llevaban fuera de la red.</w:t>
      </w:r>
      <w:r w:rsidDel="00000000" w:rsidR="00000000" w:rsidRPr="00000000">
        <w:rPr>
          <w:color w:val="444746"/>
          <w:sz w:val="24"/>
          <w:szCs w:val="24"/>
          <w:vertAlign w:val="superscript"/>
          <w:rtl w:val="0"/>
        </w:rPr>
        <w:t xml:space="preserve">7</w:t>
      </w:r>
    </w:p>
    <w:p w:rsidR="00000000" w:rsidDel="00000000" w:rsidP="00000000" w:rsidRDefault="00000000" w:rsidRPr="00000000" w14:paraId="0000000D">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A nivel cibernético, la centralización de datos gubernamentales representa el vector de ataque más lucrativo. En febrero de 2023, el USMS sufrió una intrusión clasificada como "incidente mayor", un evento de </w:t>
      </w:r>
      <w:r w:rsidDel="00000000" w:rsidR="00000000" w:rsidRPr="00000000">
        <w:rPr>
          <w:i w:val="1"/>
          <w:iCs w:val="1"/>
          <w:color w:val="1f1f1f"/>
          <w:rtl w:val="0"/>
        </w:rPr>
        <w:t xml:space="preserve">ransomware</w:t>
      </w:r>
      <w:r w:rsidDel="00000000" w:rsidR="00000000" w:rsidRPr="00000000">
        <w:rPr>
          <w:color w:val="1f1f1f"/>
          <w:rtl w:val="0"/>
        </w:rPr>
        <w:t xml:space="preserve"> y exfiltración de datos que comprometió un sistema autónomo de la agencia.</w:t>
      </w:r>
      <w:r w:rsidDel="00000000" w:rsidR="00000000" w:rsidRPr="00000000">
        <w:rPr>
          <w:color w:val="444746"/>
          <w:sz w:val="24"/>
          <w:szCs w:val="24"/>
          <w:vertAlign w:val="superscript"/>
          <w:rtl w:val="0"/>
        </w:rPr>
        <w:t xml:space="preserve">8</w:t>
      </w:r>
      <w:r w:rsidDel="00000000" w:rsidR="00000000" w:rsidRPr="00000000">
        <w:rPr>
          <w:color w:val="1f1f1f"/>
          <w:rtl w:val="0"/>
        </w:rPr>
        <w:t xml:space="preserve"> El sistema afectado contenía información de identificación personal (PII) sumamente sensible sobre sujetos de investigaciones del USMS, empleados y terceros.</w:t>
      </w:r>
      <w:r w:rsidDel="00000000" w:rsidR="00000000" w:rsidRPr="00000000">
        <w:rPr>
          <w:color w:val="444746"/>
          <w:sz w:val="24"/>
          <w:szCs w:val="24"/>
          <w:vertAlign w:val="superscript"/>
          <w:rtl w:val="0"/>
        </w:rPr>
        <w:t xml:space="preserve">8</w:t>
      </w:r>
      <w:r w:rsidDel="00000000" w:rsidR="00000000" w:rsidRPr="00000000">
        <w:rPr>
          <w:color w:val="1f1f1f"/>
          <w:rtl w:val="0"/>
        </w:rPr>
        <w:t xml:space="preserve"> Aunque fuentes oficiales aseguraron que la base de datos central del programa WITSEC no fue directamente afectada, el incidente subraya el riesgo intrínseco de depender de redes de agencias gubernamentales susceptibles a tácticas de doble extorsión.</w:t>
      </w:r>
      <w:r w:rsidDel="00000000" w:rsidR="00000000" w:rsidRPr="00000000">
        <w:rPr>
          <w:color w:val="444746"/>
          <w:sz w:val="24"/>
          <w:szCs w:val="24"/>
          <w:vertAlign w:val="superscript"/>
          <w:rtl w:val="0"/>
        </w:rPr>
        <w:t xml:space="preserve">8</w:t>
      </w:r>
    </w:p>
    <w:p w:rsidR="00000000" w:rsidDel="00000000" w:rsidP="00000000" w:rsidRDefault="00000000" w:rsidRPr="00000000" w14:paraId="0000000E">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En el contexto europeo, la Oficina Europea de Policía (Europol) enfrenta un ecosistema criminal de una complejidad sin precedentes, lidiando con 821 redes criminales altamente amenazantes (Agile, Borderless, Controlling and Destructive) que comprenden a más de 25.000 individuos.</w:t>
      </w:r>
      <w:r w:rsidDel="00000000" w:rsidR="00000000" w:rsidRPr="00000000">
        <w:rPr>
          <w:color w:val="444746"/>
          <w:sz w:val="24"/>
          <w:szCs w:val="24"/>
          <w:vertAlign w:val="superscript"/>
          <w:rtl w:val="0"/>
        </w:rPr>
        <w:t xml:space="preserve">9</w:t>
      </w:r>
      <w:r w:rsidDel="00000000" w:rsidR="00000000" w:rsidRPr="00000000">
        <w:rPr>
          <w:color w:val="1f1f1f"/>
          <w:rtl w:val="0"/>
        </w:rPr>
        <w:t xml:space="preserve"> La creación de programas de protección de testigos en la UE enfrenta discrepancias jurisdiccionales masivas. El proceso legal de emitir una nueva identidad afecta múltiples campos del derecho (derecho civil, derecho de familia, custodia de menores).</w:t>
      </w:r>
      <w:r w:rsidDel="00000000" w:rsidR="00000000" w:rsidRPr="00000000">
        <w:rPr>
          <w:color w:val="444746"/>
          <w:sz w:val="24"/>
          <w:szCs w:val="24"/>
          <w:vertAlign w:val="superscript"/>
          <w:rtl w:val="0"/>
        </w:rPr>
        <w:t xml:space="preserve">10</w:t>
      </w:r>
      <w:r w:rsidDel="00000000" w:rsidR="00000000" w:rsidRPr="00000000">
        <w:rPr>
          <w:color w:val="1f1f1f"/>
          <w:rtl w:val="0"/>
        </w:rPr>
        <w:t xml:space="preserve"> Un individuo extraído en un Estado miembro puede ser arrastrado a tribunales por un Estado vecino bajo su identidad previa debido a deudas no saldadas—un fenómeno conocido en el WITSEC como el "Síndrome de Deuda Impaga", que resultó ser uno de los mayores problemas históricos de las agencias de protección.</w:t>
      </w:r>
      <w:r w:rsidDel="00000000" w:rsidR="00000000" w:rsidRPr="00000000">
        <w:rPr>
          <w:color w:val="444746"/>
          <w:sz w:val="24"/>
          <w:szCs w:val="24"/>
          <w:vertAlign w:val="superscript"/>
          <w:rtl w:val="0"/>
        </w:rPr>
        <w:t xml:space="preserve">7</w:t>
      </w:r>
    </w:p>
    <w:p w:rsidR="00000000" w:rsidDel="00000000" w:rsidP="00000000" w:rsidRDefault="00000000" w:rsidRPr="00000000" w14:paraId="0000000F">
      <w:pPr>
        <w:widowControl w:val="0"/>
        <w:spacing w:line="275.9999942779541" w:lineRule="auto"/>
        <w:jc w:val="both"/>
        <w:rPr>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Vector de Falla Estatal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Descripción del Problema Sistémico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Oportunidad para el Servicio "Tabula Rasa"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Silos de Inteligencia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line="275.9999942779541" w:lineRule="auto"/>
              <w:jc w:val="both"/>
              <w:rPr>
                <w:color w:val="444746"/>
                <w:sz w:val="24"/>
                <w:szCs w:val="24"/>
                <w:vertAlign w:val="superscript"/>
              </w:rPr>
            </w:pPr>
            <w:r w:rsidDel="00000000" w:rsidR="00000000" w:rsidRPr="00000000">
              <w:rPr>
                <w:color w:val="1f1f1f"/>
                <w:rtl w:val="0"/>
              </w:rPr>
              <w:t xml:space="preserve">Desconexión entre agencias (ej. USMS y TSC) permite vacíos de monitoreo en listas de restricción (No-Fly lists).</w:t>
            </w:r>
            <w:r w:rsidDel="00000000" w:rsidR="00000000" w:rsidRPr="00000000">
              <w:rPr>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jc w:val="both"/>
              <w:rPr>
                <w:color w:val="1f1f1f"/>
              </w:rPr>
            </w:pPr>
            <w:r w:rsidDel="00000000" w:rsidR="00000000" w:rsidRPr="00000000">
              <w:rPr>
                <w:color w:val="1f1f1f"/>
                <w:rtl w:val="0"/>
              </w:rPr>
              <w:t xml:space="preserve">Diseño de un ecosistema hermético donde la identidad sintética no depende de sincronización burocrática, sino de criptografía autónoma.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Síndrome de Deuda Impaga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jc w:val="both"/>
              <w:rPr>
                <w:color w:val="444746"/>
                <w:sz w:val="24"/>
                <w:szCs w:val="24"/>
                <w:vertAlign w:val="superscript"/>
              </w:rPr>
            </w:pPr>
            <w:r w:rsidDel="00000000" w:rsidR="00000000" w:rsidRPr="00000000">
              <w:rPr>
                <w:color w:val="1f1f1f"/>
                <w:rtl w:val="0"/>
              </w:rPr>
              <w:t xml:space="preserve">Testigos utilizan identidades provistas por el Estado para evadir acreedores, generando exposición judicial.</w:t>
            </w:r>
            <w:r w:rsidDel="00000000" w:rsidR="00000000" w:rsidRPr="00000000">
              <w:rPr>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jc w:val="both"/>
              <w:rPr>
                <w:color w:val="1f1f1f"/>
              </w:rPr>
            </w:pPr>
            <w:r w:rsidDel="00000000" w:rsidR="00000000" w:rsidRPr="00000000">
              <w:rPr>
                <w:color w:val="1f1f1f"/>
                <w:rtl w:val="0"/>
              </w:rPr>
              <w:t xml:space="preserve">Creación proactiva de perfiles crediticios sintéticos (Backstopping) con fondos iniciales limpios para evitar arrastrar pasivos financieros previos.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Centralización de Servidores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jc w:val="both"/>
              <w:rPr>
                <w:color w:val="444746"/>
                <w:sz w:val="24"/>
                <w:szCs w:val="24"/>
                <w:vertAlign w:val="superscript"/>
              </w:rPr>
            </w:pPr>
            <w:r w:rsidDel="00000000" w:rsidR="00000000" w:rsidRPr="00000000">
              <w:rPr>
                <w:color w:val="1f1f1f"/>
                <w:rtl w:val="0"/>
              </w:rPr>
              <w:t xml:space="preserve">Vulnerabilidad a exfiltración de PII por </w:t>
            </w:r>
            <w:r w:rsidDel="00000000" w:rsidR="00000000" w:rsidRPr="00000000">
              <w:rPr>
                <w:i w:val="1"/>
                <w:iCs w:val="1"/>
                <w:color w:val="1f1f1f"/>
                <w:rtl w:val="0"/>
              </w:rPr>
              <w:t xml:space="preserve">ransomware</w:t>
            </w:r>
            <w:r w:rsidDel="00000000" w:rsidR="00000000" w:rsidRPr="00000000">
              <w:rPr>
                <w:color w:val="1f1f1f"/>
                <w:rtl w:val="0"/>
              </w:rPr>
              <w:t xml:space="preserve"> (Incidente USMS 2023).</w:t>
            </w:r>
            <w:r w:rsidDel="00000000" w:rsidR="00000000" w:rsidRPr="00000000">
              <w:rPr>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jc w:val="both"/>
              <w:rPr>
                <w:color w:val="1f1f1f"/>
              </w:rPr>
            </w:pPr>
            <w:r w:rsidDel="00000000" w:rsidR="00000000" w:rsidRPr="00000000">
              <w:rPr>
                <w:color w:val="1f1f1f"/>
                <w:rtl w:val="0"/>
              </w:rPr>
              <w:t xml:space="preserve">Implementación de bases de datos </w:t>
            </w:r>
            <w:r w:rsidDel="00000000" w:rsidR="00000000" w:rsidRPr="00000000">
              <w:rPr>
                <w:i w:val="1"/>
                <w:iCs w:val="1"/>
                <w:color w:val="1f1f1f"/>
                <w:rtl w:val="0"/>
              </w:rPr>
              <w:t xml:space="preserve">Zero-Knowledge</w:t>
            </w:r>
            <w:r w:rsidDel="00000000" w:rsidR="00000000" w:rsidRPr="00000000">
              <w:rPr>
                <w:color w:val="1f1f1f"/>
                <w:rtl w:val="0"/>
              </w:rPr>
              <w:t xml:space="preserve"> y fragmentación criptográfica, eliminando la existencia de un repositorio central ("honeypot").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Fricción Jurisdiccional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jc w:val="both"/>
              <w:rPr>
                <w:color w:val="444746"/>
                <w:sz w:val="24"/>
                <w:szCs w:val="24"/>
                <w:vertAlign w:val="superscript"/>
              </w:rPr>
            </w:pPr>
            <w:r w:rsidDel="00000000" w:rsidR="00000000" w:rsidRPr="00000000">
              <w:rPr>
                <w:color w:val="1f1f1f"/>
                <w:rtl w:val="0"/>
              </w:rPr>
              <w:t xml:space="preserve">Incompatibilidad de identidades creadas por el estado con el derecho familiar o civil transfronterizo en la UE.</w:t>
            </w:r>
            <w:r w:rsidDel="00000000" w:rsidR="00000000" w:rsidRPr="00000000">
              <w:rPr>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jc w:val="both"/>
              <w:rPr>
                <w:color w:val="1f1f1f"/>
              </w:rPr>
            </w:pPr>
            <w:r w:rsidDel="00000000" w:rsidR="00000000" w:rsidRPr="00000000">
              <w:rPr>
                <w:color w:val="1f1f1f"/>
                <w:rtl w:val="0"/>
              </w:rPr>
              <w:t xml:space="preserve">Operación mediante identidades construidas en jurisdicciones de registro abierto ("Open States") o países en vías de desarrollo con baja interconexión judicial.</w:t>
            </w:r>
          </w:p>
        </w:tc>
      </w:tr>
    </w:tbl>
    <w:p w:rsidR="00000000" w:rsidDel="00000000" w:rsidP="00000000" w:rsidRDefault="00000000" w:rsidRPr="00000000" w14:paraId="0000001F">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El Mercado Gris y el Fraude de Identidad Sintética (SIF)</w:t>
      </w:r>
    </w:p>
    <w:p w:rsidR="00000000" w:rsidDel="00000000" w:rsidP="00000000" w:rsidRDefault="00000000" w:rsidRPr="00000000" w14:paraId="00000020">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diseño teórico de un servicio de "desaparición" requiere asimilar y perfeccionar las tácticas actualmente empleadas por el mercado gris corporativo y el ecosistema del Fraude de Identidad Sintética (SIF). El SIF es una industria clandestina que generó pérdidas estimadas en 35.000 millones de dólares a instituciones financieras solamente en 2023.</w:t>
      </w:r>
      <w:r w:rsidDel="00000000" w:rsidR="00000000" w:rsidRPr="00000000">
        <w:rPr>
          <w:color w:val="444746"/>
          <w:sz w:val="24"/>
          <w:szCs w:val="24"/>
          <w:vertAlign w:val="superscript"/>
          <w:rtl w:val="0"/>
        </w:rPr>
        <w:t xml:space="preserve">11</w:t>
      </w:r>
      <w:r w:rsidDel="00000000" w:rsidR="00000000" w:rsidRPr="00000000">
        <w:rPr>
          <w:color w:val="1f1f1f"/>
          <w:rtl w:val="0"/>
        </w:rPr>
        <w:t xml:space="preserve"> A diferencia del robo de identidad tradicional—donde se suplanta a una víctima existente activando alarmas inmediatas—el SIF construye entidades fundamentalmente nuevas y amalgamadas.</w:t>
      </w:r>
      <w:r w:rsidDel="00000000" w:rsidR="00000000" w:rsidRPr="00000000">
        <w:rPr>
          <w:color w:val="444746"/>
          <w:sz w:val="24"/>
          <w:szCs w:val="24"/>
          <w:vertAlign w:val="superscript"/>
          <w:rtl w:val="0"/>
        </w:rPr>
        <w:t xml:space="preserve">11</w:t>
      </w:r>
    </w:p>
    <w:p w:rsidR="00000000" w:rsidDel="00000000" w:rsidP="00000000" w:rsidRDefault="00000000" w:rsidRPr="00000000" w14:paraId="00000021">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panorama de este mercado ha sufrido un punto de inflexión crítico con la adopción de la Inteligencia Artificial Generativa (Gen AI). Reportes de inteligencia de amenazas globales, como los de CrowdStrike, evidencian un incremento del 89% en intrusiones por parte de adversarios habilitados por IA, con modelos de lenguaje como ChatGPT siendo mencionados en foros criminales un 550% más que cualquier otro modelo.</w:t>
      </w:r>
      <w:r w:rsidDel="00000000" w:rsidR="00000000" w:rsidRPr="00000000">
        <w:rPr>
          <w:color w:val="444746"/>
          <w:sz w:val="24"/>
          <w:szCs w:val="24"/>
          <w:vertAlign w:val="superscript"/>
          <w:rtl w:val="0"/>
        </w:rPr>
        <w:t xml:space="preserve">13</w:t>
      </w:r>
      <w:r w:rsidDel="00000000" w:rsidR="00000000" w:rsidRPr="00000000">
        <w:rPr>
          <w:color w:val="1f1f1f"/>
          <w:rtl w:val="0"/>
        </w:rPr>
        <w:t xml:space="preserve"> El mercado gris explota esta Gen AI para automatizar la creación masiva de identidades, generando documentos de soporte de apariencia impecable (talones de pago, facturas de servicios públicos, historiales crediticios sintéticos).</w:t>
      </w:r>
      <w:r w:rsidDel="00000000" w:rsidR="00000000" w:rsidRPr="00000000">
        <w:rPr>
          <w:color w:val="444746"/>
          <w:sz w:val="24"/>
          <w:szCs w:val="24"/>
          <w:vertAlign w:val="superscript"/>
          <w:rtl w:val="0"/>
        </w:rPr>
        <w:t xml:space="preserve">11</w:t>
      </w:r>
    </w:p>
    <w:p w:rsidR="00000000" w:rsidDel="00000000" w:rsidP="00000000" w:rsidRDefault="00000000" w:rsidRPr="00000000" w14:paraId="00000022">
      <w:pPr>
        <w:widowControl w:val="0"/>
        <w:spacing w:after="240" w:line="275.9999942779541" w:lineRule="auto"/>
        <w:jc w:val="both"/>
        <w:rPr>
          <w:color w:val="1f1f1f"/>
        </w:rPr>
      </w:pPr>
      <w:r w:rsidDel="00000000" w:rsidR="00000000" w:rsidRPr="00000000">
        <w:rPr>
          <w:color w:val="1f1f1f"/>
          <w:rtl w:val="0"/>
        </w:rPr>
        <w:t xml:space="preserve">El modelo de maduración de estas entidades se basa en el </w:t>
      </w:r>
      <w:r w:rsidDel="00000000" w:rsidR="00000000" w:rsidRPr="00000000">
        <w:rPr>
          <w:i w:val="1"/>
          <w:iCs w:val="1"/>
          <w:color w:val="1f1f1f"/>
          <w:rtl w:val="0"/>
        </w:rPr>
        <w:t xml:space="preserve">credit laddering</w:t>
      </w:r>
      <w:r w:rsidDel="00000000" w:rsidR="00000000" w:rsidRPr="00000000">
        <w:rPr>
          <w:color w:val="1f1f1f"/>
          <w:rtl w:val="0"/>
        </w:rPr>
        <w:t xml:space="preserve"> o escalamiento crediticio.</w:t>
      </w:r>
      <w:r w:rsidDel="00000000" w:rsidR="00000000" w:rsidRPr="00000000">
        <w:rPr>
          <w:color w:val="444746"/>
          <w:sz w:val="24"/>
          <w:szCs w:val="24"/>
          <w:vertAlign w:val="superscript"/>
          <w:rtl w:val="0"/>
        </w:rPr>
        <w:t xml:space="preserve">12</w:t>
      </w:r>
      <w:r w:rsidDel="00000000" w:rsidR="00000000" w:rsidRPr="00000000">
        <w:rPr>
          <w:color w:val="1f1f1f"/>
          <w:rtl w:val="0"/>
        </w:rPr>
        <w:t xml:space="preserve"> Una identidad sintética es diseñada para "mezclarse" (</w:t>
      </w:r>
      <w:r w:rsidDel="00000000" w:rsidR="00000000" w:rsidRPr="00000000">
        <w:rPr>
          <w:i w:val="1"/>
          <w:iCs w:val="1"/>
          <w:color w:val="1f1f1f"/>
          <w:rtl w:val="0"/>
        </w:rPr>
        <w:t xml:space="preserve">blending in</w:t>
      </w:r>
      <w:r w:rsidDel="00000000" w:rsidR="00000000" w:rsidRPr="00000000">
        <w:rPr>
          <w:color w:val="1f1f1f"/>
          <w:rtl w:val="0"/>
        </w:rPr>
        <w:t xml:space="preserve">), mimetizando comportamientos financieros legítimos a lo largo de meses o años, abriendo pequeñas líneas de crédito, pagándolas sistemáticamente, y construyendo un </w:t>
      </w:r>
      <w:r w:rsidDel="00000000" w:rsidR="00000000" w:rsidRPr="00000000">
        <w:rPr>
          <w:i w:val="1"/>
          <w:iCs w:val="1"/>
          <w:color w:val="1f1f1f"/>
          <w:rtl w:val="0"/>
        </w:rPr>
        <w:t xml:space="preserve">score</w:t>
      </w:r>
      <w:r w:rsidDel="00000000" w:rsidR="00000000" w:rsidRPr="00000000">
        <w:rPr>
          <w:color w:val="1f1f1f"/>
          <w:rtl w:val="0"/>
        </w:rPr>
        <w:t xml:space="preserve"> crediticio robótico pero matemáticamente perfecto antes de ser utilizada.</w:t>
      </w:r>
      <w:r w:rsidDel="00000000" w:rsidR="00000000" w:rsidRPr="00000000">
        <w:rPr>
          <w:color w:val="444746"/>
          <w:sz w:val="24"/>
          <w:szCs w:val="24"/>
          <w:vertAlign w:val="superscript"/>
          <w:rtl w:val="0"/>
        </w:rPr>
        <w:t xml:space="preserve">11</w:t>
      </w:r>
      <w:r w:rsidDel="00000000" w:rsidR="00000000" w:rsidRPr="00000000">
        <w:rPr>
          <w:color w:val="1f1f1f"/>
          <w:rtl w:val="0"/>
        </w:rPr>
        <w:t xml:space="preserve"> Las instituciones financieras fracasan al detectar estos perfiles porque los sistemas tradicionales de Conozca a su Cliente (KYC) están entrenados para buscar alertas de fraude reactivas, no para cuestionar a un ciudadano modelo de reciente creación.</w:t>
      </w:r>
      <w:r w:rsidDel="00000000" w:rsidR="00000000" w:rsidRPr="00000000">
        <w:rPr>
          <w:color w:val="444746"/>
          <w:sz w:val="24"/>
          <w:szCs w:val="24"/>
          <w:vertAlign w:val="superscript"/>
          <w:rtl w:val="0"/>
        </w:rPr>
        <w:t xml:space="preserve">12</w:t>
      </w:r>
      <w:r w:rsidDel="00000000" w:rsidR="00000000" w:rsidRPr="00000000">
        <w:rPr>
          <w:color w:val="1f1f1f"/>
          <w:rtl w:val="0"/>
        </w:rPr>
        <w:t xml:space="preserve"> El proyecto Tabula Rasa adaptaría este modelo ofensivo con un fin defensivo: pre-fabricando identidades sintéticas maduras y mantenidas en estado latente ("incubadas") para ser asignadas a un cliente en el momento exacto de su extracción, garantizando una transición fluida hacia el sistema bancario y social.</w:t>
      </w:r>
    </w:p>
    <w:p w:rsidR="00000000" w:rsidDel="00000000" w:rsidP="00000000" w:rsidRDefault="00000000" w:rsidRPr="00000000" w14:paraId="00000023">
      <w:pPr>
        <w:pStyle w:val="Heading2"/>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2. Saneamiento Digital y Evasión OSINT (Ingeniería de Sistemas)</w:t>
      </w:r>
    </w:p>
    <w:p w:rsidR="00000000" w:rsidDel="00000000" w:rsidP="00000000" w:rsidRDefault="00000000" w:rsidRPr="00000000" w14:paraId="00000024">
      <w:pPr>
        <w:widowControl w:val="0"/>
        <w:spacing w:after="240" w:line="275.9999942779541" w:lineRule="auto"/>
        <w:jc w:val="both"/>
        <w:rPr>
          <w:color w:val="1f1f1f"/>
        </w:rPr>
      </w:pPr>
      <w:r w:rsidDel="00000000" w:rsidR="00000000" w:rsidRPr="00000000">
        <w:rPr>
          <w:color w:val="1f1f1f"/>
          <w:rtl w:val="0"/>
        </w:rPr>
        <w:t xml:space="preserve">La fase de ejecución de la desaparición comienza ineludiblemente con la erradicación del rastro del individuo. En la arquitectura actual de la información, el borrado de la huella digital requiere un enfoque dual: el saneamiento exhaustivo de vectores físicos/digitales del dispositivo y la inyección agresiva de entropía (ruido) en las redes de corredores de datos (</w:t>
      </w:r>
      <w:r w:rsidDel="00000000" w:rsidR="00000000" w:rsidRPr="00000000">
        <w:rPr>
          <w:i w:val="1"/>
          <w:iCs w:val="1"/>
          <w:color w:val="1f1f1f"/>
          <w:rtl w:val="0"/>
        </w:rPr>
        <w:t xml:space="preserve">data brokers</w:t>
      </w:r>
      <w:r w:rsidDel="00000000" w:rsidR="00000000" w:rsidRPr="00000000">
        <w:rPr>
          <w:color w:val="1f1f1f"/>
          <w:rtl w:val="0"/>
        </w:rPr>
        <w:t xml:space="preserve">).</w:t>
      </w:r>
    </w:p>
    <w:p w:rsidR="00000000" w:rsidDel="00000000" w:rsidP="00000000" w:rsidRDefault="00000000" w:rsidRPr="00000000" w14:paraId="00000025">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Erradicación de Huella Digital y Metodología de Data Poisoning</w:t>
      </w:r>
    </w:p>
    <w:p w:rsidR="00000000" w:rsidDel="00000000" w:rsidP="00000000" w:rsidRDefault="00000000" w:rsidRPr="00000000" w14:paraId="00000026">
      <w:pPr>
        <w:widowControl w:val="0"/>
        <w:spacing w:after="240" w:line="275.9999942779541" w:lineRule="auto"/>
        <w:jc w:val="both"/>
        <w:rPr>
          <w:color w:val="1f1f1f"/>
        </w:rPr>
      </w:pPr>
      <w:r w:rsidDel="00000000" w:rsidR="00000000" w:rsidRPr="00000000">
        <w:rPr>
          <w:color w:val="1f1f1f"/>
          <w:rtl w:val="0"/>
        </w:rPr>
        <w:t xml:space="preserve">Las investigaciones del experto en privacidad OSINT Michael Bazzell, detalladas en su marco de trabajo "Extreme Privacy", proporcionan una hoja de ruta procedimental esencial para la desconexión digital.</w:t>
      </w:r>
      <w:r w:rsidDel="00000000" w:rsidR="00000000" w:rsidRPr="00000000">
        <w:rPr>
          <w:color w:val="444746"/>
          <w:sz w:val="24"/>
          <w:szCs w:val="24"/>
          <w:vertAlign w:val="superscript"/>
          <w:rtl w:val="0"/>
        </w:rPr>
        <w:t xml:space="preserve">14</w:t>
      </w:r>
      <w:r w:rsidDel="00000000" w:rsidR="00000000" w:rsidRPr="00000000">
        <w:rPr>
          <w:color w:val="1f1f1f"/>
          <w:rtl w:val="0"/>
        </w:rPr>
        <w:t xml:space="preserve"> El primer postulado para la desaparición exige la esterilización del hardware de telecomunicaciones. El dispositivo móvil original del cliente debe ser abandonado (o utilizado como señuelo), ya que las identificaciones de equipo (IMEI), las tarjetas SIM y las conexiones a redes Wi-Fi históricas trazan un patrón de vida (</w:t>
      </w:r>
      <w:r w:rsidDel="00000000" w:rsidR="00000000" w:rsidRPr="00000000">
        <w:rPr>
          <w:i w:val="1"/>
          <w:iCs w:val="1"/>
          <w:color w:val="1f1f1f"/>
          <w:rtl w:val="0"/>
        </w:rPr>
        <w:t xml:space="preserve">pattern of life</w:t>
      </w:r>
      <w:r w:rsidDel="00000000" w:rsidR="00000000" w:rsidRPr="00000000">
        <w:rPr>
          <w:color w:val="1f1f1f"/>
          <w:rtl w:val="0"/>
        </w:rPr>
        <w:t xml:space="preserve">) imborrable.</w:t>
      </w:r>
    </w:p>
    <w:p w:rsidR="00000000" w:rsidDel="00000000" w:rsidP="00000000" w:rsidRDefault="00000000" w:rsidRPr="00000000" w14:paraId="00000027">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nuevo dispositivo debe ser adquirido en efectivo, sin asociación a identidades previas.</w:t>
      </w:r>
      <w:r w:rsidDel="00000000" w:rsidR="00000000" w:rsidRPr="00000000">
        <w:rPr>
          <w:color w:val="444746"/>
          <w:sz w:val="24"/>
          <w:szCs w:val="24"/>
          <w:vertAlign w:val="superscript"/>
          <w:rtl w:val="0"/>
        </w:rPr>
        <w:t xml:space="preserve">17</w:t>
      </w:r>
      <w:r w:rsidDel="00000000" w:rsidR="00000000" w:rsidRPr="00000000">
        <w:rPr>
          <w:color w:val="1f1f1f"/>
          <w:rtl w:val="0"/>
        </w:rPr>
        <w:t xml:space="preserve"> A nivel de sistema operativo, la configuración requiere un endurecimiento (</w:t>
      </w:r>
      <w:r w:rsidDel="00000000" w:rsidR="00000000" w:rsidRPr="00000000">
        <w:rPr>
          <w:i w:val="1"/>
          <w:iCs w:val="1"/>
          <w:color w:val="1f1f1f"/>
          <w:rtl w:val="0"/>
        </w:rPr>
        <w:t xml:space="preserve">hardening</w:t>
      </w:r>
      <w:r w:rsidDel="00000000" w:rsidR="00000000" w:rsidRPr="00000000">
        <w:rPr>
          <w:color w:val="1f1f1f"/>
          <w:rtl w:val="0"/>
        </w:rPr>
        <w:t xml:space="preserve">) extremo. Si bien se prefiere la instalación de sistemas operativos de código abierto y orientados a la privacidad como GrapheneOS en hardware compatible (ej. dispositivos Pixel con bootloaders desbloqueados), los dispositivos iOS pueden ser configurados desactivando absolutamente todos los servicios de telemetría de iCloud, previniendo la sincronización en la nube que ha sido vector de innumerables filtraciones.</w:t>
      </w:r>
      <w:r w:rsidDel="00000000" w:rsidR="00000000" w:rsidRPr="00000000">
        <w:rPr>
          <w:color w:val="444746"/>
          <w:sz w:val="24"/>
          <w:szCs w:val="24"/>
          <w:vertAlign w:val="superscript"/>
          <w:rtl w:val="0"/>
        </w:rPr>
        <w:t xml:space="preserve">17</w:t>
      </w:r>
      <w:r w:rsidDel="00000000" w:rsidR="00000000" w:rsidRPr="00000000">
        <w:rPr>
          <w:color w:val="1f1f1f"/>
          <w:rtl w:val="0"/>
        </w:rPr>
        <w:t xml:space="preserve"> Bazzell recomienda la desactivación de biometría facial (Face ID) en favor de métodos de desbloqueo más controlables, la navegación exclusiva mediante navegadores purgados regularmente y la ejecución de copias de seguridad estrictamente locales mediante herramientas como iMazing.</w:t>
      </w:r>
      <w:r w:rsidDel="00000000" w:rsidR="00000000" w:rsidRPr="00000000">
        <w:rPr>
          <w:color w:val="444746"/>
          <w:sz w:val="24"/>
          <w:szCs w:val="24"/>
          <w:vertAlign w:val="superscript"/>
          <w:rtl w:val="0"/>
        </w:rPr>
        <w:t xml:space="preserve">17</w:t>
      </w:r>
    </w:p>
    <w:p w:rsidR="00000000" w:rsidDel="00000000" w:rsidP="00000000" w:rsidRDefault="00000000" w:rsidRPr="00000000" w14:paraId="00000028">
      <w:pPr>
        <w:widowControl w:val="0"/>
        <w:spacing w:after="240" w:line="275.9999942779541" w:lineRule="auto"/>
        <w:jc w:val="both"/>
        <w:rPr>
          <w:color w:val="1f1f1f"/>
        </w:rPr>
      </w:pPr>
      <w:r w:rsidDel="00000000" w:rsidR="00000000" w:rsidRPr="00000000">
        <w:rPr>
          <w:color w:val="1f1f1f"/>
          <w:rtl w:val="0"/>
        </w:rPr>
        <w:t xml:space="preserve">Sin embargo, eliminar la huella pasada alojada en repositorios públicos y </w:t>
      </w:r>
      <w:r w:rsidDel="00000000" w:rsidR="00000000" w:rsidRPr="00000000">
        <w:rPr>
          <w:i w:val="1"/>
          <w:iCs w:val="1"/>
          <w:color w:val="1f1f1f"/>
          <w:rtl w:val="0"/>
        </w:rPr>
        <w:t xml:space="preserve">data brokers</w:t>
      </w:r>
      <w:r w:rsidDel="00000000" w:rsidR="00000000" w:rsidRPr="00000000">
        <w:rPr>
          <w:color w:val="1f1f1f"/>
          <w:rtl w:val="0"/>
        </w:rPr>
        <w:t xml:space="preserve"> requiere ir más allá del simple </w:t>
      </w:r>
      <w:r w:rsidDel="00000000" w:rsidR="00000000" w:rsidRPr="00000000">
        <w:rPr>
          <w:i w:val="1"/>
          <w:iCs w:val="1"/>
          <w:color w:val="1f1f1f"/>
          <w:rtl w:val="0"/>
        </w:rPr>
        <w:t xml:space="preserve">opt-out</w:t>
      </w:r>
      <w:r w:rsidDel="00000000" w:rsidR="00000000" w:rsidRPr="00000000">
        <w:rPr>
          <w:color w:val="1f1f1f"/>
          <w:rtl w:val="0"/>
        </w:rPr>
        <w:t xml:space="preserve">. Dado que el borrado completo es ilusorio debido a herramientas de archivo persistente como la </w:t>
      </w:r>
      <w:r w:rsidDel="00000000" w:rsidR="00000000" w:rsidRPr="00000000">
        <w:rPr>
          <w:i w:val="1"/>
          <w:iCs w:val="1"/>
          <w:color w:val="1f1f1f"/>
          <w:rtl w:val="0"/>
        </w:rPr>
        <w:t xml:space="preserve">Wayback Machine</w:t>
      </w:r>
      <w:r w:rsidDel="00000000" w:rsidR="00000000" w:rsidRPr="00000000">
        <w:rPr>
          <w:color w:val="1f1f1f"/>
          <w:rtl w:val="0"/>
        </w:rPr>
        <w:t xml:space="preserve"> </w:t>
      </w:r>
      <w:r w:rsidDel="00000000" w:rsidR="00000000" w:rsidRPr="00000000">
        <w:rPr>
          <w:color w:val="444746"/>
          <w:sz w:val="24"/>
          <w:szCs w:val="24"/>
          <w:vertAlign w:val="superscript"/>
          <w:rtl w:val="0"/>
        </w:rPr>
        <w:t xml:space="preserve">16</w:t>
      </w:r>
      <w:r w:rsidDel="00000000" w:rsidR="00000000" w:rsidRPr="00000000">
        <w:rPr>
          <w:color w:val="1f1f1f"/>
          <w:rtl w:val="0"/>
        </w:rPr>
        <w:t xml:space="preserve">, la metodología teórica más efectiva es la inyección de ruido o </w:t>
      </w:r>
      <w:r w:rsidDel="00000000" w:rsidR="00000000" w:rsidRPr="00000000">
        <w:rPr>
          <w:i w:val="1"/>
          <w:iCs w:val="1"/>
          <w:color w:val="1f1f1f"/>
          <w:rtl w:val="0"/>
        </w:rPr>
        <w:t xml:space="preserve">Data Poisoning</w:t>
      </w:r>
      <w:r w:rsidDel="00000000" w:rsidR="00000000" w:rsidRPr="00000000">
        <w:rPr>
          <w:color w:val="1f1f1f"/>
          <w:rtl w:val="0"/>
        </w:rPr>
        <w:t xml:space="preserve">.</w:t>
      </w:r>
      <w:r w:rsidDel="00000000" w:rsidR="00000000" w:rsidRPr="00000000">
        <w:rPr>
          <w:color w:val="444746"/>
          <w:sz w:val="24"/>
          <w:szCs w:val="24"/>
          <w:vertAlign w:val="superscript"/>
          <w:rtl w:val="0"/>
        </w:rPr>
        <w:t xml:space="preserve">14</w:t>
      </w:r>
      <w:r w:rsidDel="00000000" w:rsidR="00000000" w:rsidRPr="00000000">
        <w:rPr>
          <w:color w:val="1f1f1f"/>
          <w:rtl w:val="0"/>
        </w:rPr>
        <w:t xml:space="preserve"> Esta técnica OSINT inversa implica la automatización de la creación de múltiples identidades digitales falsas, cuentas en redes sociales y registros en directorios comerciales que comparten el nombre del objetivo, pero divergen en fechas de nacimiento, direcciones físicas en jurisdicciones internacionales y números telefónicos generados por VoIP. Al saturar el ecosistema de inteligencia con datos contradictorios, las herramientas de perfilado algorítmico utilizadas por investigadores privados o agencias estatales devuelven grafos de red inservibles, destruyendo la correlación determinista y ocultando la señal verdadera bajo una avalancha de ruido.</w:t>
      </w:r>
    </w:p>
    <w:p w:rsidR="00000000" w:rsidDel="00000000" w:rsidP="00000000" w:rsidRDefault="00000000" w:rsidRPr="00000000" w14:paraId="00000029">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Evasión de Biometría en Entornos Inteligentes (Adversarial Attacks)</w:t>
      </w:r>
    </w:p>
    <w:p w:rsidR="00000000" w:rsidDel="00000000" w:rsidP="00000000" w:rsidRDefault="00000000" w:rsidRPr="00000000" w14:paraId="0000002A">
      <w:pPr>
        <w:widowControl w:val="0"/>
        <w:spacing w:after="240" w:line="275.9999942779541" w:lineRule="auto"/>
        <w:jc w:val="both"/>
        <w:rPr>
          <w:color w:val="1f1f1f"/>
        </w:rPr>
      </w:pPr>
      <w:r w:rsidDel="00000000" w:rsidR="00000000" w:rsidRPr="00000000">
        <w:rPr>
          <w:color w:val="1f1f1f"/>
          <w:rtl w:val="0"/>
        </w:rPr>
        <w:t xml:space="preserve">La fase de "extracción física" de un individuo a través de una "ciudad inteligente" (</w:t>
      </w:r>
      <w:r w:rsidDel="00000000" w:rsidR="00000000" w:rsidRPr="00000000">
        <w:rPr>
          <w:i w:val="1"/>
          <w:iCs w:val="1"/>
          <w:color w:val="1f1f1f"/>
          <w:rtl w:val="0"/>
        </w:rPr>
        <w:t xml:space="preserve">smart city</w:t>
      </w:r>
      <w:r w:rsidDel="00000000" w:rsidR="00000000" w:rsidRPr="00000000">
        <w:rPr>
          <w:color w:val="1f1f1f"/>
          <w:rtl w:val="0"/>
        </w:rPr>
        <w:t xml:space="preserve">) moderna requiere sortear densas redes de circuito cerrado de televisión (CCTV) interconectadas y equipadas con reconocimiento facial masivo. Estos sistemas modernos están impulsados por Redes Neuronales Convolucionales (CNN) y arquitecturas de </w:t>
      </w:r>
      <w:r w:rsidDel="00000000" w:rsidR="00000000" w:rsidRPr="00000000">
        <w:rPr>
          <w:i w:val="1"/>
          <w:iCs w:val="1"/>
          <w:color w:val="1f1f1f"/>
          <w:rtl w:val="0"/>
        </w:rPr>
        <w:t xml:space="preserve">Vision Transformers</w:t>
      </w:r>
      <w:r w:rsidDel="00000000" w:rsidR="00000000" w:rsidRPr="00000000">
        <w:rPr>
          <w:color w:val="1f1f1f"/>
          <w:rtl w:val="0"/>
        </w:rPr>
        <w:t xml:space="preserve"> de última generación.</w:t>
      </w:r>
      <w:r w:rsidDel="00000000" w:rsidR="00000000" w:rsidRPr="00000000">
        <w:rPr>
          <w:color w:val="444746"/>
          <w:sz w:val="24"/>
          <w:szCs w:val="24"/>
          <w:vertAlign w:val="superscript"/>
          <w:rtl w:val="0"/>
        </w:rPr>
        <w:t xml:space="preserve">18</w:t>
      </w:r>
      <w:r w:rsidDel="00000000" w:rsidR="00000000" w:rsidRPr="00000000">
        <w:rPr>
          <w:color w:val="1f1f1f"/>
          <w:rtl w:val="0"/>
        </w:rPr>
        <w:t xml:space="preserve"> La alteración puramente cosmética de rasgos físicos es ineficaz contra la geometría nodal facial; por ende, el enfoque defensivo recae en los ataques físicos adversarios (</w:t>
      </w:r>
      <w:r w:rsidDel="00000000" w:rsidR="00000000" w:rsidRPr="00000000">
        <w:rPr>
          <w:i w:val="1"/>
          <w:iCs w:val="1"/>
          <w:color w:val="1f1f1f"/>
          <w:rtl w:val="0"/>
        </w:rPr>
        <w:t xml:space="preserve">Physical Adversarial Attacks</w:t>
      </w:r>
      <w:r w:rsidDel="00000000" w:rsidR="00000000" w:rsidRPr="00000000">
        <w:rPr>
          <w:color w:val="1f1f1f"/>
          <w:rtl w:val="0"/>
        </w:rPr>
        <w:t xml:space="preserve">).</w:t>
      </w:r>
    </w:p>
    <w:p w:rsidR="00000000" w:rsidDel="00000000" w:rsidP="00000000" w:rsidRDefault="00000000" w:rsidRPr="00000000" w14:paraId="0000002B">
      <w:pPr>
        <w:widowControl w:val="0"/>
        <w:spacing w:after="240" w:line="275.9999942779541" w:lineRule="auto"/>
        <w:jc w:val="both"/>
        <w:rPr>
          <w:color w:val="1f1f1f"/>
        </w:rPr>
      </w:pPr>
      <w:r w:rsidDel="00000000" w:rsidR="00000000" w:rsidRPr="00000000">
        <w:rPr>
          <w:color w:val="1f1f1f"/>
          <w:rtl w:val="0"/>
        </w:rPr>
        <w:t xml:space="preserve">Las investigaciones académicas de 2024 demuestran la viabilidad de generar perturbaciones matemáticas diseñadas para engañar a un modelo de clasificación, forzándolo a una identificación errónea o a ignorar la existencia del rostro por completo.</w:t>
      </w:r>
      <w:r w:rsidDel="00000000" w:rsidR="00000000" w:rsidRPr="00000000">
        <w:rPr>
          <w:color w:val="444746"/>
          <w:sz w:val="24"/>
          <w:szCs w:val="24"/>
          <w:vertAlign w:val="superscript"/>
          <w:rtl w:val="0"/>
        </w:rPr>
        <w:t xml:space="preserve">18</w:t>
      </w:r>
      <w:r w:rsidDel="00000000" w:rsidR="00000000" w:rsidRPr="00000000">
        <w:rPr>
          <w:color w:val="1f1f1f"/>
          <w:rtl w:val="0"/>
        </w:rPr>
        <w:t xml:space="preserve"> En el dominio digital, esto se logra mediante técnicas como el </w:t>
      </w:r>
      <w:r w:rsidDel="00000000" w:rsidR="00000000" w:rsidRPr="00000000">
        <w:rPr>
          <w:i w:val="1"/>
          <w:iCs w:val="1"/>
          <w:color w:val="1f1f1f"/>
          <w:rtl w:val="0"/>
        </w:rPr>
        <w:t xml:space="preserve">Fast Gradient Sign Method</w:t>
      </w:r>
      <w:r w:rsidDel="00000000" w:rsidR="00000000" w:rsidRPr="00000000">
        <w:rPr>
          <w:color w:val="1f1f1f"/>
          <w:rtl w:val="0"/>
        </w:rPr>
        <w:t xml:space="preserve"> (FGSM) o el </w:t>
      </w:r>
      <w:r w:rsidDel="00000000" w:rsidR="00000000" w:rsidRPr="00000000">
        <w:rPr>
          <w:i w:val="1"/>
          <w:iCs w:val="1"/>
          <w:color w:val="1f1f1f"/>
          <w:rtl w:val="0"/>
        </w:rPr>
        <w:t xml:space="preserve">Projected Gradient Descent</w:t>
      </w:r>
      <w:r w:rsidDel="00000000" w:rsidR="00000000" w:rsidRPr="00000000">
        <w:rPr>
          <w:color w:val="1f1f1f"/>
          <w:rtl w:val="0"/>
        </w:rPr>
        <w:t xml:space="preserve"> (PGD).</w:t>
      </w:r>
      <w:r w:rsidDel="00000000" w:rsidR="00000000" w:rsidRPr="00000000">
        <w:rPr>
          <w:color w:val="444746"/>
          <w:sz w:val="24"/>
          <w:szCs w:val="24"/>
          <w:vertAlign w:val="superscript"/>
          <w:rtl w:val="0"/>
        </w:rPr>
        <w:t xml:space="preserve">20</w:t>
      </w:r>
      <w:r w:rsidDel="00000000" w:rsidR="00000000" w:rsidRPr="00000000">
        <w:rPr>
          <w:color w:val="1f1f1f"/>
          <w:rtl w:val="0"/>
        </w:rPr>
        <w:t xml:space="preserve"> Sin embargo, la aplicación de perturbaciones en el mundo real impone el reto de transferir estos píxeles alterados al entorno físico sin obstaculizar la visión del sujeto ni alertar a los humanos presentes.</w:t>
      </w:r>
    </w:p>
    <w:p w:rsidR="00000000" w:rsidDel="00000000" w:rsidP="00000000" w:rsidRDefault="00000000" w:rsidRPr="00000000" w14:paraId="0000002C">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solución arquitectónica de vanguardia es el método </w:t>
      </w:r>
      <w:r w:rsidDel="00000000" w:rsidR="00000000" w:rsidRPr="00000000">
        <w:rPr>
          <w:b w:val="1"/>
          <w:bCs w:val="1"/>
          <w:color w:val="1f1f1f"/>
          <w:rtl w:val="0"/>
        </w:rPr>
        <w:t xml:space="preserve">ProjAttacker</w:t>
      </w:r>
      <w:r w:rsidDel="00000000" w:rsidR="00000000" w:rsidRPr="00000000">
        <w:rPr>
          <w:color w:val="1f1f1f"/>
          <w:rtl w:val="0"/>
        </w:rPr>
        <w:t xml:space="preserve">, un ataque adversario físico configurable y no intrusivo que emplea proyectores miniaturizados.</w:t>
      </w:r>
      <w:r w:rsidDel="00000000" w:rsidR="00000000" w:rsidRPr="00000000">
        <w:rPr>
          <w:color w:val="444746"/>
          <w:sz w:val="24"/>
          <w:szCs w:val="24"/>
          <w:vertAlign w:val="superscript"/>
          <w:rtl w:val="0"/>
        </w:rPr>
        <w:t xml:space="preserve">21</w:t>
      </w:r>
      <w:r w:rsidDel="00000000" w:rsidR="00000000" w:rsidRPr="00000000">
        <w:rPr>
          <w:color w:val="1f1f1f"/>
          <w:rtl w:val="0"/>
        </w:rPr>
        <w:t xml:space="preserve"> A diferencia de las máscaras de silicona impresas en 3D o las gafas adversarias—que frecuentemente fracasan ante los módulos de detección de vivacidad (</w:t>
      </w:r>
      <w:r w:rsidDel="00000000" w:rsidR="00000000" w:rsidRPr="00000000">
        <w:rPr>
          <w:i w:val="1"/>
          <w:iCs w:val="1"/>
          <w:color w:val="1f1f1f"/>
          <w:rtl w:val="0"/>
        </w:rPr>
        <w:t xml:space="preserve">liveness detection</w:t>
      </w:r>
      <w:r w:rsidDel="00000000" w:rsidR="00000000" w:rsidRPr="00000000">
        <w:rPr>
          <w:color w:val="1f1f1f"/>
          <w:rtl w:val="0"/>
        </w:rPr>
        <w:t xml:space="preserve">) por obstruir la textura de la piel—ProjAttacker proyecta luz rica en contenido y patrones texturizados directamente sobre el rostro del individuo en tiempo real.</w:t>
      </w:r>
      <w:r w:rsidDel="00000000" w:rsidR="00000000" w:rsidRPr="00000000">
        <w:rPr>
          <w:color w:val="444746"/>
          <w:sz w:val="24"/>
          <w:szCs w:val="24"/>
          <w:vertAlign w:val="superscript"/>
          <w:rtl w:val="0"/>
        </w:rPr>
        <w:t xml:space="preserve">21</w:t>
      </w:r>
    </w:p>
    <w:p w:rsidR="00000000" w:rsidDel="00000000" w:rsidP="00000000" w:rsidRDefault="00000000" w:rsidRPr="00000000" w14:paraId="0000002D">
      <w:pPr>
        <w:widowControl w:val="0"/>
        <w:spacing w:after="120" w:line="275.9999942779541" w:lineRule="auto"/>
        <w:jc w:val="both"/>
        <w:rPr>
          <w:color w:val="1f1f1f"/>
        </w:rPr>
      </w:pPr>
      <w:r w:rsidDel="00000000" w:rsidR="00000000" w:rsidRPr="00000000">
        <w:rPr>
          <w:color w:val="1f1f1f"/>
          <w:rtl w:val="0"/>
        </w:rPr>
        <w:t xml:space="preserve">Para cerrar la brecha entre la optimización matemática digital y el despliegue físico, el algoritmo de ProjAttacker utiliza dos simulaciones críticas durante su entrenamiento:</w:t>
      </w:r>
    </w:p>
    <w:p w:rsidR="00000000" w:rsidDel="00000000" w:rsidP="00000000" w:rsidRDefault="00000000" w:rsidRPr="00000000" w14:paraId="0000002E">
      <w:pPr>
        <w:widowControl w:val="0"/>
        <w:numPr>
          <w:ilvl w:val="0"/>
          <w:numId w:val="5"/>
        </w:numPr>
        <w:spacing w:after="0" w:afterAutospacing="0" w:line="275.9999942779541" w:lineRule="auto"/>
        <w:ind w:left="480" w:hanging="360"/>
        <w:jc w:val="both"/>
      </w:pPr>
      <w:r w:rsidDel="00000000" w:rsidR="00000000" w:rsidRPr="00000000">
        <w:rPr>
          <w:b w:val="1"/>
          <w:bCs w:val="1"/>
          <w:color w:val="1f1f1f"/>
          <w:rtl w:val="0"/>
        </w:rPr>
        <w:t xml:space="preserve">Función de Reflexión de Luz (LRF):</w:t>
      </w:r>
      <w:r w:rsidDel="00000000" w:rsidR="00000000" w:rsidRPr="00000000">
        <w:rPr>
          <w:color w:val="1f1f1f"/>
          <w:rtl w:val="0"/>
        </w:rPr>
        <w:t xml:space="preserve"> Un modelo que simula las interacciones ópticas complejas, incluyendo la reflexión y difracción de la luz proyectada al chocar contra la piel humana tridimensional, garantizando que el patrón mantenga sus propiedades adversarias sin importar el ángulo de incidencia.</w:t>
      </w:r>
      <w:r w:rsidDel="00000000" w:rsidR="00000000" w:rsidRPr="00000000">
        <w:rPr>
          <w:color w:val="444746"/>
          <w:sz w:val="24"/>
          <w:szCs w:val="24"/>
          <w:vertAlign w:val="superscript"/>
          <w:rtl w:val="0"/>
        </w:rPr>
        <w:t xml:space="preserve">21</w:t>
      </w:r>
    </w:p>
    <w:p w:rsidR="00000000" w:rsidDel="00000000" w:rsidP="00000000" w:rsidRDefault="00000000" w:rsidRPr="00000000" w14:paraId="0000002F">
      <w:pPr>
        <w:widowControl w:val="0"/>
        <w:numPr>
          <w:ilvl w:val="0"/>
          <w:numId w:val="5"/>
        </w:numPr>
        <w:spacing w:after="120" w:before="0" w:beforeAutospacing="0" w:line="275.9999942779541" w:lineRule="auto"/>
        <w:ind w:left="480" w:hanging="360"/>
        <w:jc w:val="both"/>
      </w:pPr>
      <w:r w:rsidDel="00000000" w:rsidR="00000000" w:rsidRPr="00000000">
        <w:rPr>
          <w:b w:val="1"/>
          <w:bCs w:val="1"/>
          <w:color w:val="1f1f1f"/>
          <w:rtl w:val="0"/>
        </w:rPr>
        <w:t xml:space="preserve">Red Proxy de Procesamiento de Señal de Imagen (ISP):</w:t>
      </w:r>
      <w:r w:rsidDel="00000000" w:rsidR="00000000" w:rsidRPr="00000000">
        <w:rPr>
          <w:color w:val="1f1f1f"/>
          <w:rtl w:val="0"/>
        </w:rPr>
        <w:t xml:space="preserve"> Una red neuronal diferenciable que simula los procesos internos del hardware de la cámara enemiga (corrección de color, eliminación de ruido, balance de blancos). Esto asegura que cuando el CCTV enemigo procese la imagen proyectada, el patrón adversario sobreviva a la compresión de video.</w:t>
      </w:r>
      <w:r w:rsidDel="00000000" w:rsidR="00000000" w:rsidRPr="00000000">
        <w:rPr>
          <w:color w:val="444746"/>
          <w:sz w:val="24"/>
          <w:szCs w:val="24"/>
          <w:vertAlign w:val="superscript"/>
          <w:rtl w:val="0"/>
        </w:rPr>
        <w:t xml:space="preserve">21</w:t>
      </w:r>
    </w:p>
    <w:p w:rsidR="00000000" w:rsidDel="00000000" w:rsidP="00000000" w:rsidRDefault="00000000" w:rsidRPr="00000000" w14:paraId="00000030">
      <w:pPr>
        <w:widowControl w:val="0"/>
        <w:spacing w:after="240" w:before="240" w:line="275.9999942779541" w:lineRule="auto"/>
        <w:jc w:val="both"/>
        <w:rPr>
          <w:color w:val="444746"/>
          <w:sz w:val="24"/>
          <w:szCs w:val="24"/>
          <w:vertAlign w:val="superscript"/>
        </w:rPr>
      </w:pPr>
      <w:r w:rsidDel="00000000" w:rsidR="00000000" w:rsidRPr="00000000">
        <w:rPr>
          <w:color w:val="1f1f1f"/>
          <w:rtl w:val="0"/>
        </w:rPr>
        <w:t xml:space="preserve">Implementado en un vehículo de extracción o en micro-proyectores infrarrojos acoplados a la indumentaria (los cuales las cámaras de seguridad perciben, pero el ojo humano no), este sistema permite realizar un </w:t>
      </w:r>
      <w:r w:rsidDel="00000000" w:rsidR="00000000" w:rsidRPr="00000000">
        <w:rPr>
          <w:i w:val="1"/>
          <w:iCs w:val="1"/>
          <w:color w:val="1f1f1f"/>
          <w:rtl w:val="0"/>
        </w:rPr>
        <w:t xml:space="preserve">face swap</w:t>
      </w:r>
      <w:r w:rsidDel="00000000" w:rsidR="00000000" w:rsidRPr="00000000">
        <w:rPr>
          <w:color w:val="1f1f1f"/>
          <w:rtl w:val="0"/>
        </w:rPr>
        <w:t xml:space="preserve"> en tiempo real, logrando evadir sistemas comerciales de detección de vivacidad y reconocimiento facial (como APIs de Baidu o CTyun) con tasas de éxito documentadas del 100%.</w:t>
      </w:r>
      <w:r w:rsidDel="00000000" w:rsidR="00000000" w:rsidRPr="00000000">
        <w:rPr>
          <w:color w:val="444746"/>
          <w:sz w:val="24"/>
          <w:szCs w:val="24"/>
          <w:vertAlign w:val="superscript"/>
          <w:rtl w:val="0"/>
        </w:rPr>
        <w:t xml:space="preserve">21</w:t>
      </w:r>
    </w:p>
    <w:p w:rsidR="00000000" w:rsidDel="00000000" w:rsidP="00000000" w:rsidRDefault="00000000" w:rsidRPr="00000000" w14:paraId="00000031">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Arquitectura Zero-Knowledge y Redes Mixnet para el "Vetting System"</w:t>
      </w:r>
    </w:p>
    <w:p w:rsidR="00000000" w:rsidDel="00000000" w:rsidP="00000000" w:rsidRDefault="00000000" w:rsidRPr="00000000" w14:paraId="00000032">
      <w:pPr>
        <w:widowControl w:val="0"/>
        <w:spacing w:after="240" w:line="275.9999942779541" w:lineRule="auto"/>
        <w:jc w:val="both"/>
        <w:rPr>
          <w:color w:val="1f1f1f"/>
        </w:rPr>
      </w:pPr>
      <w:r w:rsidDel="00000000" w:rsidR="00000000" w:rsidRPr="00000000">
        <w:rPr>
          <w:color w:val="1f1f1f"/>
          <w:rtl w:val="0"/>
        </w:rPr>
        <w:t xml:space="preserve">El contacto inicial y el proceso de reclutamiento del cliente en peligro extremo deben ejecutarse a través de un canal de comunicación asíncrono que resista el análisis de inteligencia de adversarios globales. Estos actores (agencias de inteligencia Tier 1) poseen la capacidad de monitorear pasivamente enormes fragmentos del tráfico de internet mundial. Sistemas criptográficos estándar como </w:t>
      </w:r>
      <w:r w:rsidDel="00000000" w:rsidR="00000000" w:rsidRPr="00000000">
        <w:rPr>
          <w:i w:val="1"/>
          <w:iCs w:val="1"/>
          <w:color w:val="1f1f1f"/>
          <w:rtl w:val="0"/>
        </w:rPr>
        <w:t xml:space="preserve">Signal Protocol</w:t>
      </w:r>
      <w:r w:rsidDel="00000000" w:rsidR="00000000" w:rsidRPr="00000000">
        <w:rPr>
          <w:color w:val="1f1f1f"/>
          <w:rtl w:val="0"/>
        </w:rPr>
        <w:t xml:space="preserve"> protegen la confidencialidad de la carga útil del mensaje (nadie puede leer el contenido), pero no ocultan los metadatos: la hora de envío, el tamaño del paquete, y el grafo de conexión entre el emisor y el receptor.</w:t>
      </w:r>
      <w:r w:rsidDel="00000000" w:rsidR="00000000" w:rsidRPr="00000000">
        <w:rPr>
          <w:color w:val="444746"/>
          <w:sz w:val="24"/>
          <w:szCs w:val="24"/>
          <w:vertAlign w:val="superscript"/>
          <w:rtl w:val="0"/>
        </w:rPr>
        <w:t xml:space="preserve">22</w:t>
      </w:r>
      <w:r w:rsidDel="00000000" w:rsidR="00000000" w:rsidRPr="00000000">
        <w:rPr>
          <w:color w:val="1f1f1f"/>
          <w:rtl w:val="0"/>
        </w:rPr>
        <w:t xml:space="preserve"> En situaciones de clandestinidad, el metadato es suficiente para lanzar un ataque cinético.</w:t>
      </w:r>
    </w:p>
    <w:p w:rsidR="00000000" w:rsidDel="00000000" w:rsidP="00000000" w:rsidRDefault="00000000" w:rsidRPr="00000000" w14:paraId="00000033">
      <w:pPr>
        <w:widowControl w:val="0"/>
        <w:spacing w:after="240" w:line="275.9999942779541" w:lineRule="auto"/>
        <w:jc w:val="both"/>
        <w:rPr>
          <w:color w:val="1f1f1f"/>
        </w:rPr>
      </w:pPr>
      <w:r w:rsidDel="00000000" w:rsidR="00000000" w:rsidRPr="00000000">
        <w:rPr>
          <w:color w:val="1f1f1f"/>
          <w:rtl w:val="0"/>
        </w:rPr>
        <w:t xml:space="preserve">El diseño teórico de Tabula Rasa exige la implementación de una infraestructura descentralizada basada en </w:t>
      </w:r>
      <w:r w:rsidDel="00000000" w:rsidR="00000000" w:rsidRPr="00000000">
        <w:rPr>
          <w:b w:val="1"/>
          <w:bCs w:val="1"/>
          <w:color w:val="1f1f1f"/>
          <w:rtl w:val="0"/>
        </w:rPr>
        <w:t xml:space="preserve">Mixnets</w:t>
      </w:r>
      <w:r w:rsidDel="00000000" w:rsidR="00000000" w:rsidRPr="00000000">
        <w:rPr>
          <w:color w:val="1f1f1f"/>
          <w:rtl w:val="0"/>
        </w:rPr>
        <w:t xml:space="preserve"> (redes mixtas), empleando arquitecturas como el protocolo Nym y su diseño base Loopix.</w:t>
      </w:r>
      <w:r w:rsidDel="00000000" w:rsidR="00000000" w:rsidRPr="00000000">
        <w:rPr>
          <w:color w:val="444746"/>
          <w:sz w:val="24"/>
          <w:szCs w:val="24"/>
          <w:vertAlign w:val="superscript"/>
          <w:rtl w:val="0"/>
        </w:rPr>
        <w:t xml:space="preserve">22</w:t>
      </w:r>
      <w:r w:rsidDel="00000000" w:rsidR="00000000" w:rsidRPr="00000000">
        <w:rPr>
          <w:color w:val="1f1f1f"/>
          <w:rtl w:val="0"/>
        </w:rPr>
        <w:t xml:space="preserve"> La meta es lograr la inobservabilidad absoluta (</w:t>
      </w:r>
      <w:r w:rsidDel="00000000" w:rsidR="00000000" w:rsidRPr="00000000">
        <w:rPr>
          <w:i w:val="1"/>
          <w:iCs w:val="1"/>
          <w:color w:val="1f1f1f"/>
          <w:rtl w:val="0"/>
        </w:rPr>
        <w:t xml:space="preserve">unobservability</w:t>
      </w:r>
      <w:r w:rsidDel="00000000" w:rsidR="00000000" w:rsidRPr="00000000">
        <w:rPr>
          <w:color w:val="1f1f1f"/>
          <w:rtl w:val="0"/>
        </w:rPr>
        <w:t xml:space="preserve">).</w:t>
      </w:r>
    </w:p>
    <w:p w:rsidR="00000000" w:rsidDel="00000000" w:rsidP="00000000" w:rsidRDefault="00000000" w:rsidRPr="00000000" w14:paraId="00000034">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topología de la red se organiza en capas estratificadas de nodos de mezcla (</w:t>
      </w:r>
      <w:r w:rsidDel="00000000" w:rsidR="00000000" w:rsidRPr="00000000">
        <w:rPr>
          <w:i w:val="1"/>
          <w:iCs w:val="1"/>
          <w:color w:val="1f1f1f"/>
          <w:rtl w:val="0"/>
        </w:rPr>
        <w:t xml:space="preserve">mix nodes</w:t>
      </w:r>
      <w:r w:rsidDel="00000000" w:rsidR="00000000" w:rsidRPr="00000000">
        <w:rPr>
          <w:color w:val="1f1f1f"/>
          <w:rtl w:val="0"/>
        </w:rPr>
        <w:t xml:space="preserve">). Cuando un cliente inicia contacto, su aplicación compila el mensaje utilizando el formato de paquete </w:t>
      </w:r>
      <w:r w:rsidDel="00000000" w:rsidR="00000000" w:rsidRPr="00000000">
        <w:rPr>
          <w:b w:val="1"/>
          <w:bCs w:val="1"/>
          <w:color w:val="1f1f1f"/>
          <w:rtl w:val="0"/>
        </w:rPr>
        <w:t xml:space="preserve">Sphinx</w:t>
      </w:r>
      <w:r w:rsidDel="00000000" w:rsidR="00000000" w:rsidRPr="00000000">
        <w:rPr>
          <w:color w:val="1f1f1f"/>
          <w:rtl w:val="0"/>
        </w:rPr>
        <w:t xml:space="preserve">.</w:t>
      </w:r>
      <w:r w:rsidDel="00000000" w:rsidR="00000000" w:rsidRPr="00000000">
        <w:rPr>
          <w:color w:val="444746"/>
          <w:sz w:val="24"/>
          <w:szCs w:val="24"/>
          <w:vertAlign w:val="superscript"/>
          <w:rtl w:val="0"/>
        </w:rPr>
        <w:t xml:space="preserve">22</w:t>
      </w:r>
      <w:r w:rsidDel="00000000" w:rsidR="00000000" w:rsidRPr="00000000">
        <w:rPr>
          <w:color w:val="1f1f1f"/>
          <w:rtl w:val="0"/>
        </w:rPr>
        <w:t xml:space="preserve"> Sphinx cifra el mensaje con un enrutamiento en cebolla de longitud fija, asegurando que cada nodo solo pueda desencriptar las instrucciones de salto hacia el siguiente nodo, manteniendo todos los paquetes transitando por la red con un tamaño en bytes absolutamente idéntico, lo que previene el análisis de firmas de paquetes.</w:t>
      </w:r>
      <w:r w:rsidDel="00000000" w:rsidR="00000000" w:rsidRPr="00000000">
        <w:rPr>
          <w:color w:val="444746"/>
          <w:sz w:val="24"/>
          <w:szCs w:val="24"/>
          <w:vertAlign w:val="superscript"/>
          <w:rtl w:val="0"/>
        </w:rPr>
        <w:t xml:space="preserve">22</w:t>
      </w:r>
    </w:p>
    <w:p w:rsidR="00000000" w:rsidDel="00000000" w:rsidP="00000000" w:rsidRDefault="00000000" w:rsidRPr="00000000" w14:paraId="00000035">
      <w:pPr>
        <w:widowControl w:val="0"/>
        <w:spacing w:after="120" w:line="275.9999942779541" w:lineRule="auto"/>
        <w:jc w:val="both"/>
        <w:rPr>
          <w:color w:val="1f1f1f"/>
        </w:rPr>
      </w:pPr>
      <w:r w:rsidDel="00000000" w:rsidR="00000000" w:rsidRPr="00000000">
        <w:rPr>
          <w:color w:val="1f1f1f"/>
          <w:rtl w:val="0"/>
        </w:rPr>
        <w:t xml:space="preserve">La defensa contra el análisis temporal se logra mediante dos mecanismos probabilísticos:</w:t>
      </w:r>
    </w:p>
    <w:p w:rsidR="00000000" w:rsidDel="00000000" w:rsidP="00000000" w:rsidRDefault="00000000" w:rsidRPr="00000000" w14:paraId="00000036">
      <w:pPr>
        <w:widowControl w:val="0"/>
        <w:numPr>
          <w:ilvl w:val="0"/>
          <w:numId w:val="4"/>
        </w:numPr>
        <w:spacing w:after="0" w:afterAutospacing="0" w:line="275.9999942779541" w:lineRule="auto"/>
        <w:ind w:left="480" w:hanging="360"/>
        <w:jc w:val="both"/>
      </w:pPr>
      <w:r w:rsidDel="00000000" w:rsidR="00000000" w:rsidRPr="00000000">
        <w:rPr>
          <w:b w:val="1"/>
          <w:bCs w:val="1"/>
          <w:color w:val="1f1f1f"/>
          <w:rtl w:val="0"/>
        </w:rPr>
        <w:t xml:space="preserve">Mezcla de Tiempo Continuo (Continuous-Time Mixing):</w:t>
      </w:r>
      <w:r w:rsidDel="00000000" w:rsidR="00000000" w:rsidRPr="00000000">
        <w:rPr>
          <w:color w:val="1f1f1f"/>
          <w:rtl w:val="0"/>
        </w:rPr>
        <w:t xml:space="preserve"> Los nodos no envían los paquetes tan pronto como los reciben ni esperan a formar bloques estáticos. Por el contrario, retienen e inyectan retrasos aleatorios a cada paquete procesado.</w:t>
      </w:r>
      <w:r w:rsidDel="00000000" w:rsidR="00000000" w:rsidRPr="00000000">
        <w:rPr>
          <w:color w:val="444746"/>
          <w:sz w:val="24"/>
          <w:szCs w:val="24"/>
          <w:vertAlign w:val="superscript"/>
          <w:rtl w:val="0"/>
        </w:rPr>
        <w:t xml:space="preserve">22</w:t>
      </w:r>
    </w:p>
    <w:p w:rsidR="00000000" w:rsidDel="00000000" w:rsidP="00000000" w:rsidRDefault="00000000" w:rsidRPr="00000000" w14:paraId="00000037">
      <w:pPr>
        <w:widowControl w:val="0"/>
        <w:numPr>
          <w:ilvl w:val="0"/>
          <w:numId w:val="4"/>
        </w:numPr>
        <w:spacing w:after="120" w:before="0" w:beforeAutospacing="0" w:line="275.9999942779541" w:lineRule="auto"/>
        <w:ind w:left="480" w:hanging="360"/>
        <w:jc w:val="both"/>
      </w:pPr>
      <w:r w:rsidDel="00000000" w:rsidR="00000000" w:rsidRPr="00000000">
        <w:rPr>
          <w:b w:val="1"/>
          <w:bCs w:val="1"/>
          <w:color w:val="1f1f1f"/>
          <w:rtl w:val="0"/>
        </w:rPr>
        <w:t xml:space="preserve">Tráfico de Cobertura y Bucles (Cover Traffic):</w:t>
      </w:r>
      <w:r w:rsidDel="00000000" w:rsidR="00000000" w:rsidRPr="00000000">
        <w:rPr>
          <w:color w:val="1f1f1f"/>
          <w:rtl w:val="0"/>
        </w:rPr>
        <w:t xml:space="preserve"> Los clientes, las puertas de enlace (Gateways) y los nodos de la red inyectan constantemente paquetes "falsos" o señuelos (</w:t>
      </w:r>
      <w:r w:rsidDel="00000000" w:rsidR="00000000" w:rsidRPr="00000000">
        <w:rPr>
          <w:i w:val="1"/>
          <w:iCs w:val="1"/>
          <w:color w:val="1f1f1f"/>
          <w:rtl w:val="0"/>
        </w:rPr>
        <w:t xml:space="preserve">dummy messages</w:t>
      </w:r>
      <w:r w:rsidDel="00000000" w:rsidR="00000000" w:rsidRPr="00000000">
        <w:rPr>
          <w:color w:val="1f1f1f"/>
          <w:rtl w:val="0"/>
        </w:rPr>
        <w:t xml:space="preserve">) que viajan por la red y eventualmente regresan al emisor.</w:t>
      </w:r>
      <w:r w:rsidDel="00000000" w:rsidR="00000000" w:rsidRPr="00000000">
        <w:rPr>
          <w:color w:val="444746"/>
          <w:sz w:val="24"/>
          <w:szCs w:val="24"/>
          <w:vertAlign w:val="superscript"/>
          <w:rtl w:val="0"/>
        </w:rPr>
        <w:t xml:space="preserve">22</w:t>
      </w:r>
    </w:p>
    <w:p w:rsidR="00000000" w:rsidDel="00000000" w:rsidP="00000000" w:rsidRDefault="00000000" w:rsidRPr="00000000" w14:paraId="00000038">
      <w:pPr>
        <w:widowControl w:val="0"/>
        <w:spacing w:after="240" w:before="240" w:line="275.9999942779541" w:lineRule="auto"/>
        <w:jc w:val="both"/>
        <w:rPr>
          <w:color w:val="1f1f1f"/>
        </w:rPr>
      </w:pPr>
      <w:r w:rsidDel="00000000" w:rsidR="00000000" w:rsidRPr="00000000">
        <w:rPr>
          <w:color w:val="1f1f1f"/>
          <w:rtl w:val="0"/>
        </w:rPr>
        <w:t xml:space="preserve">La emisión de estos paquetes, tanto reales como falsos, se calibra para seguir un Proceso de Poisson. Matemáticamente, esto significa que los eventos de transmisión ocurren de manera continua e independiente a una tasa promedio </w:t>
      </w:r>
      <w:r w:rsidDel="00000000" w:rsidR="00000000" w:rsidRPr="00000000">
        <w:rPr>
          <w:color w:val="1f1f1f"/>
        </w:rPr>
        <w:drawing>
          <wp:inline distB="19050" distT="19050" distL="19050" distR="19050">
            <wp:extent cx="107513" cy="25637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7513" cy="256378"/>
                    </a:xfrm>
                    <a:prstGeom prst="rect"/>
                    <a:ln/>
                  </pic:spPr>
                </pic:pic>
              </a:graphicData>
            </a:graphic>
          </wp:inline>
        </w:drawing>
      </w:r>
      <w:r w:rsidDel="00000000" w:rsidR="00000000" w:rsidRPr="00000000">
        <w:rPr>
          <w:color w:val="1f1f1f"/>
          <w:rtl w:val="0"/>
        </w:rPr>
        <w:t xml:space="preserve">. La probabilidad de transmitir </w:t>
      </w:r>
      <w:r w:rsidDel="00000000" w:rsidR="00000000" w:rsidRPr="00000000">
        <w:rPr>
          <w:color w:val="1f1f1f"/>
        </w:rPr>
        <w:drawing>
          <wp:inline distB="19050" distT="19050" distL="19050" distR="19050">
            <wp:extent cx="101798" cy="242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798" cy="242750"/>
                    </a:xfrm>
                    <a:prstGeom prst="rect"/>
                    <a:ln/>
                  </pic:spPr>
                </pic:pic>
              </a:graphicData>
            </a:graphic>
          </wp:inline>
        </w:drawing>
      </w:r>
      <w:r w:rsidDel="00000000" w:rsidR="00000000" w:rsidRPr="00000000">
        <w:rPr>
          <w:color w:val="1f1f1f"/>
          <w:rtl w:val="0"/>
        </w:rPr>
        <w:t xml:space="preserve"> paquetes en un intervalo de tiempo se define por:</w:t>
      </w:r>
    </w:p>
    <w:p w:rsidR="00000000" w:rsidDel="00000000" w:rsidP="00000000" w:rsidRDefault="00000000" w:rsidRPr="00000000" w14:paraId="00000039">
      <w:pPr>
        <w:widowControl w:val="0"/>
        <w:spacing w:line="275.9999942779541" w:lineRule="auto"/>
        <w:jc w:val="both"/>
        <w:rPr>
          <w:color w:val="1f1f1f"/>
        </w:rPr>
      </w:pPr>
      <w:r w:rsidDel="00000000" w:rsidR="00000000" w:rsidRPr="00000000">
        <w:rPr>
          <w:color w:val="1f1f1f"/>
        </w:rPr>
        <w:drawing>
          <wp:inline distB="19050" distT="19050" distL="19050" distR="19050">
            <wp:extent cx="5731200" cy="558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Dado que el cliente envía paquetes de cobertura en esta misma distribución estocástica cuando está inactivo, y simplemente sustituye un paquete de cobertura por un paquete real cuando necesita comunicarse, un adversario que observe el tráfico cifrado desde el ISP del cliente solo verá un flujo constante de datos bajo una distribución de Poisson perfecta, siendo matemáticamente incapaz de discernir cuándo ocurre la comunicación real.</w:t>
      </w:r>
      <w:r w:rsidDel="00000000" w:rsidR="00000000" w:rsidRPr="00000000">
        <w:rPr>
          <w:color w:val="444746"/>
          <w:sz w:val="24"/>
          <w:szCs w:val="24"/>
          <w:vertAlign w:val="superscript"/>
          <w:rtl w:val="0"/>
        </w:rPr>
        <w:t xml:space="preserve">22</w:t>
      </w:r>
      <w:r w:rsidDel="00000000" w:rsidR="00000000" w:rsidRPr="00000000">
        <w:rPr>
          <w:color w:val="1f1f1f"/>
          <w:rtl w:val="0"/>
        </w:rPr>
        <w:t xml:space="preserve"> Finalmente, para permitir que los operadores de Tabula Rasa respondan al cliente sin conocer su dirección IP real, el sistema utiliza Bloques de Respuesta de Uso Único (SURBs), que contienen una ruta de retorno pre-cifrada garantizando un canal bi-direccional completamente desvinculado.</w:t>
      </w:r>
      <w:r w:rsidDel="00000000" w:rsidR="00000000" w:rsidRPr="00000000">
        <w:rPr>
          <w:color w:val="444746"/>
          <w:sz w:val="24"/>
          <w:szCs w:val="24"/>
          <w:vertAlign w:val="superscript"/>
          <w:rtl w:val="0"/>
        </w:rPr>
        <w:t xml:space="preserve">22</w:t>
      </w:r>
    </w:p>
    <w:p w:rsidR="00000000" w:rsidDel="00000000" w:rsidP="00000000" w:rsidRDefault="00000000" w:rsidRPr="00000000" w14:paraId="0000003B">
      <w:pPr>
        <w:pStyle w:val="Heading2"/>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3. Creación de Identidades Sintéticas (Backstopping)</w:t>
      </w:r>
    </w:p>
    <w:p w:rsidR="00000000" w:rsidDel="00000000" w:rsidP="00000000" w:rsidRDefault="00000000" w:rsidRPr="00000000" w14:paraId="0000003C">
      <w:pPr>
        <w:widowControl w:val="0"/>
        <w:spacing w:after="240" w:line="275.9999942779541" w:lineRule="auto"/>
        <w:jc w:val="both"/>
        <w:rPr>
          <w:color w:val="1f1f1f"/>
        </w:rPr>
      </w:pPr>
      <w:r w:rsidDel="00000000" w:rsidR="00000000" w:rsidRPr="00000000">
        <w:rPr>
          <w:color w:val="1f1f1f"/>
          <w:rtl w:val="0"/>
        </w:rPr>
        <w:t xml:space="preserve">La evasión inicial es irrelevante si el individuo no puede anclarse de nuevo al tejido social, logístico y económico internacional. La fase de </w:t>
      </w:r>
      <w:r w:rsidDel="00000000" w:rsidR="00000000" w:rsidRPr="00000000">
        <w:rPr>
          <w:i w:val="1"/>
          <w:iCs w:val="1"/>
          <w:color w:val="1f1f1f"/>
          <w:rtl w:val="0"/>
        </w:rPr>
        <w:t xml:space="preserve">Backstopping</w:t>
      </w:r>
      <w:r w:rsidDel="00000000" w:rsidR="00000000" w:rsidRPr="00000000">
        <w:rPr>
          <w:color w:val="1f1f1f"/>
          <w:rtl w:val="0"/>
        </w:rPr>
        <w:t xml:space="preserve"> o creación de documentación de respaldo, define la frontera entre un fugitivo y un ciudadano restablecido. Esto se consolida mediante la construcción de la "Identidad Frankenstein", fundamentada en la explotación técnica de las vulnerabilidades en los registros civiles fundacionales.</w:t>
      </w:r>
    </w:p>
    <w:p w:rsidR="00000000" w:rsidDel="00000000" w:rsidP="00000000" w:rsidRDefault="00000000" w:rsidRPr="00000000" w14:paraId="0000003D">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Concepto de "Frankenstein Identity" y Evasión KYC/AML</w:t>
      </w:r>
    </w:p>
    <w:p w:rsidR="00000000" w:rsidDel="00000000" w:rsidP="00000000" w:rsidRDefault="00000000" w:rsidRPr="00000000" w14:paraId="0000003E">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Identidad Frankenstein toma su nombre de la técnica de amalgamar partes dispares de información de identificación personal (PII) legítima—frecuentemente extraída de brechas de bases de datos gubernamentales, de salud o financieras comercializadas en la Dark Web </w:t>
      </w:r>
      <w:r w:rsidDel="00000000" w:rsidR="00000000" w:rsidRPr="00000000">
        <w:rPr>
          <w:color w:val="444746"/>
          <w:sz w:val="24"/>
          <w:szCs w:val="24"/>
          <w:vertAlign w:val="superscript"/>
          <w:rtl w:val="0"/>
        </w:rPr>
        <w:t xml:space="preserve">23</w:t>
      </w:r>
      <w:r w:rsidDel="00000000" w:rsidR="00000000" w:rsidRPr="00000000">
        <w:rPr>
          <w:color w:val="1f1f1f"/>
          <w:rtl w:val="0"/>
        </w:rPr>
        <w:t xml:space="preserve">—con atributos biográficos y numéricos completamente fabricados.</w:t>
      </w:r>
      <w:r w:rsidDel="00000000" w:rsidR="00000000" w:rsidRPr="00000000">
        <w:rPr>
          <w:color w:val="444746"/>
          <w:sz w:val="24"/>
          <w:szCs w:val="24"/>
          <w:vertAlign w:val="superscript"/>
          <w:rtl w:val="0"/>
        </w:rPr>
        <w:t xml:space="preserve">11</w:t>
      </w:r>
    </w:p>
    <w:p w:rsidR="00000000" w:rsidDel="00000000" w:rsidP="00000000" w:rsidRDefault="00000000" w:rsidRPr="00000000" w14:paraId="0000003F">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automatización mediante IA Generativa (Gen AI) ha revolucionado esta técnica. En el ecosistema de Tabula Rasa, los motores de IA compilarían historias de vida hiperrealistas, interconectando direcciones postales reales con perfiles de crédito sintéticos y números de seguro social limpios.</w:t>
      </w:r>
      <w:r w:rsidDel="00000000" w:rsidR="00000000" w:rsidRPr="00000000">
        <w:rPr>
          <w:color w:val="444746"/>
          <w:sz w:val="24"/>
          <w:szCs w:val="24"/>
          <w:vertAlign w:val="superscript"/>
          <w:rtl w:val="0"/>
        </w:rPr>
        <w:t xml:space="preserve">11</w:t>
      </w:r>
      <w:r w:rsidDel="00000000" w:rsidR="00000000" w:rsidRPr="00000000">
        <w:rPr>
          <w:color w:val="1f1f1f"/>
          <w:rtl w:val="0"/>
        </w:rPr>
        <w:t xml:space="preserve"> Estos sistemas IA son empleados para generar documentos probatorios indetectables a la vista humana y a muchos sistemas de Reconocimiento Óptico de Caracteres (OCR): contratos de arrendamiento, extractos bancarios de entidades extraterritoriales, y facturas de telecomunicaciones.</w:t>
      </w:r>
      <w:r w:rsidDel="00000000" w:rsidR="00000000" w:rsidRPr="00000000">
        <w:rPr>
          <w:color w:val="444746"/>
          <w:sz w:val="24"/>
          <w:szCs w:val="24"/>
          <w:vertAlign w:val="superscript"/>
          <w:rtl w:val="0"/>
        </w:rPr>
        <w:t xml:space="preserve">11</w:t>
      </w:r>
    </w:p>
    <w:p w:rsidR="00000000" w:rsidDel="00000000" w:rsidP="00000000" w:rsidRDefault="00000000" w:rsidRPr="00000000" w14:paraId="00000040">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principal escollo para la instauración de una nueva identidad bancarizada reside en los procesos modernos de Conozca a su Cliente (KYC) y Anti-Lavado de Dinero (AML), los cuales exigen validación biométrica en vivo a través de aplicaciones móviles. En este escenario, la Gen AI asiste mediante la generación de </w:t>
      </w:r>
      <w:r w:rsidDel="00000000" w:rsidR="00000000" w:rsidRPr="00000000">
        <w:rPr>
          <w:i w:val="1"/>
          <w:iCs w:val="1"/>
          <w:color w:val="1f1f1f"/>
          <w:rtl w:val="0"/>
        </w:rPr>
        <w:t xml:space="preserve">deepfakes</w:t>
      </w:r>
      <w:r w:rsidDel="00000000" w:rsidR="00000000" w:rsidRPr="00000000">
        <w:rPr>
          <w:color w:val="1f1f1f"/>
          <w:rtl w:val="0"/>
        </w:rPr>
        <w:t xml:space="preserve"> en tiempo real.</w:t>
      </w:r>
      <w:r w:rsidDel="00000000" w:rsidR="00000000" w:rsidRPr="00000000">
        <w:rPr>
          <w:color w:val="444746"/>
          <w:sz w:val="24"/>
          <w:szCs w:val="24"/>
          <w:vertAlign w:val="superscript"/>
          <w:rtl w:val="0"/>
        </w:rPr>
        <w:t xml:space="preserve">11</w:t>
      </w:r>
      <w:r w:rsidDel="00000000" w:rsidR="00000000" w:rsidRPr="00000000">
        <w:rPr>
          <w:color w:val="1f1f1f"/>
          <w:rtl w:val="0"/>
        </w:rPr>
        <w:t xml:space="preserve"> El software de la organización altera dinámicamente la transmisión de la cámara web del individuo en tiempo real, adaptando la iluminación, la geometría facial y simulando comportamientos de vivacidad dictados por la app bancaria (ej. "gire la cabeza a la derecha", "parpadee"), permitiendo la apertura de líneas de crédito corporativas a nombre de la entidad Frankenstein.</w:t>
      </w:r>
      <w:r w:rsidDel="00000000" w:rsidR="00000000" w:rsidRPr="00000000">
        <w:rPr>
          <w:color w:val="444746"/>
          <w:sz w:val="24"/>
          <w:szCs w:val="24"/>
          <w:vertAlign w:val="superscript"/>
          <w:rtl w:val="0"/>
        </w:rPr>
        <w:t xml:space="preserve">11</w:t>
      </w:r>
    </w:p>
    <w:p w:rsidR="00000000" w:rsidDel="00000000" w:rsidP="00000000" w:rsidRDefault="00000000" w:rsidRPr="00000000" w14:paraId="00000041">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Documentación Fundacional: Explotación del Registro Civil ("The Paper Trip")</w:t>
      </w:r>
    </w:p>
    <w:p w:rsidR="00000000" w:rsidDel="00000000" w:rsidP="00000000" w:rsidRDefault="00000000" w:rsidRPr="00000000" w14:paraId="00000042">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Toda identidad digital moderna, pasaportes con chip de policarbonato, biometría fronteriza y monederos de identidad europea (EUDI Wallet), descansan sobre un documento fundacional que adolece de controles de seguridad de grado criptográfico: el certificado de nacimiento o documento de registro civil originario (Breeder Document).</w:t>
      </w:r>
      <w:r w:rsidDel="00000000" w:rsidR="00000000" w:rsidRPr="00000000">
        <w:rPr>
          <w:color w:val="444746"/>
          <w:sz w:val="24"/>
          <w:szCs w:val="24"/>
          <w:vertAlign w:val="superscript"/>
          <w:rtl w:val="0"/>
        </w:rPr>
        <w:t xml:space="preserve">25</w:t>
      </w:r>
      <w:r w:rsidDel="00000000" w:rsidR="00000000" w:rsidRPr="00000000">
        <w:rPr>
          <w:color w:val="1f1f1f"/>
          <w:rtl w:val="0"/>
        </w:rPr>
        <w:t xml:space="preserve"> Como señalan expertos en estandarización del CEN TC224, "el certificado de nacimiento es el documento más peligroso del sistema de identidad", puesto que una vez que un actor malicioso inserta un documento fundacional falso en la cadena burocrática, todos los documentos emitidos posteriormente (pasaportes, visas) serán legalmente válidos y auténticos a los ojos de la infraestructura estatal.</w:t>
      </w:r>
      <w:r w:rsidDel="00000000" w:rsidR="00000000" w:rsidRPr="00000000">
        <w:rPr>
          <w:color w:val="444746"/>
          <w:sz w:val="24"/>
          <w:szCs w:val="24"/>
          <w:vertAlign w:val="superscript"/>
          <w:rtl w:val="0"/>
        </w:rPr>
        <w:t xml:space="preserve">25</w:t>
      </w:r>
    </w:p>
    <w:p w:rsidR="00000000" w:rsidDel="00000000" w:rsidP="00000000" w:rsidRDefault="00000000" w:rsidRPr="00000000" w14:paraId="00000043">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manual clásico de creación de identidades, conocido como </w:t>
      </w:r>
      <w:r w:rsidDel="00000000" w:rsidR="00000000" w:rsidRPr="00000000">
        <w:rPr>
          <w:i w:val="1"/>
          <w:iCs w:val="1"/>
          <w:color w:val="1f1f1f"/>
          <w:rtl w:val="0"/>
        </w:rPr>
        <w:t xml:space="preserve">The Paper Trip</w:t>
      </w:r>
      <w:r w:rsidDel="00000000" w:rsidR="00000000" w:rsidRPr="00000000">
        <w:rPr>
          <w:color w:val="1f1f1f"/>
          <w:rtl w:val="0"/>
        </w:rPr>
        <w:t xml:space="preserve">, sistematizó el concepto del robo de la identidad de infantes fallecidos.</w:t>
      </w:r>
      <w:r w:rsidDel="00000000" w:rsidR="00000000" w:rsidRPr="00000000">
        <w:rPr>
          <w:color w:val="444746"/>
          <w:sz w:val="24"/>
          <w:szCs w:val="24"/>
          <w:vertAlign w:val="superscript"/>
          <w:rtl w:val="0"/>
        </w:rPr>
        <w:t xml:space="preserve">24</w:t>
      </w:r>
      <w:r w:rsidDel="00000000" w:rsidR="00000000" w:rsidRPr="00000000">
        <w:rPr>
          <w:color w:val="1f1f1f"/>
          <w:rtl w:val="0"/>
        </w:rPr>
        <w:t xml:space="preserve"> El procedimiento metodológico explota la asincronía entre los registros de nacimiento y defunción. Operadores OSINT localizan obituarios en jurisdicciones que poseen leyes de registros abiertos ("Open States" en EE. UU.).</w:t>
      </w:r>
      <w:r w:rsidDel="00000000" w:rsidR="00000000" w:rsidRPr="00000000">
        <w:rPr>
          <w:color w:val="444746"/>
          <w:sz w:val="24"/>
          <w:szCs w:val="24"/>
          <w:vertAlign w:val="superscript"/>
          <w:rtl w:val="0"/>
        </w:rPr>
        <w:t xml:space="preserve">24</w:t>
      </w:r>
      <w:r w:rsidDel="00000000" w:rsidR="00000000" w:rsidRPr="00000000">
        <w:rPr>
          <w:color w:val="1f1f1f"/>
          <w:rtl w:val="0"/>
        </w:rPr>
        <w:t xml:space="preserve"> Solicitan copias certificadas del acta de defunción, y utilizando la información biográfica extraída de la misma, solicitan un certificado de nacimiento.</w:t>
      </w:r>
      <w:r w:rsidDel="00000000" w:rsidR="00000000" w:rsidRPr="00000000">
        <w:rPr>
          <w:color w:val="444746"/>
          <w:sz w:val="24"/>
          <w:szCs w:val="24"/>
          <w:vertAlign w:val="superscript"/>
          <w:rtl w:val="0"/>
        </w:rPr>
        <w:t xml:space="preserve">24</w:t>
      </w:r>
      <w:r w:rsidDel="00000000" w:rsidR="00000000" w:rsidRPr="00000000">
        <w:rPr>
          <w:color w:val="1f1f1f"/>
          <w:rtl w:val="0"/>
        </w:rPr>
        <w:t xml:space="preserve"> Debido a vulnerabilidades procesales en los registros locales, el certificado de nacimiento frecuentemente se expide sin una marca de agua de "fallecido" (Deceased), otorgando a la organización una identidad fundacional perfectamente válida, capaz de superar verificaciones de agencias tributarias y de seguridad social.</w:t>
      </w:r>
      <w:r w:rsidDel="00000000" w:rsidR="00000000" w:rsidRPr="00000000">
        <w:rPr>
          <w:color w:val="444746"/>
          <w:sz w:val="24"/>
          <w:szCs w:val="24"/>
          <w:vertAlign w:val="superscript"/>
          <w:rtl w:val="0"/>
        </w:rPr>
        <w:t xml:space="preserve">24</w:t>
      </w:r>
    </w:p>
    <w:p w:rsidR="00000000" w:rsidDel="00000000" w:rsidP="00000000" w:rsidRDefault="00000000" w:rsidRPr="00000000" w14:paraId="00000044">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A nivel sistémico internacional, las mayores vulnerabilidades teóricas para la inserción de actas se ubican en los países de América Latina y el Caribe (LAC). Los sistemas de registro civil en LAC, aunque a menudo vinculados a identificaciones nacionales, sufren de infraestructuras IT frágiles y brechas profundas de conectividad.</w:t>
      </w:r>
      <w:r w:rsidDel="00000000" w:rsidR="00000000" w:rsidRPr="00000000">
        <w:rPr>
          <w:color w:val="444746"/>
          <w:sz w:val="24"/>
          <w:szCs w:val="24"/>
          <w:vertAlign w:val="superscript"/>
          <w:rtl w:val="0"/>
        </w:rPr>
        <w:t xml:space="preserve">27</w:t>
      </w:r>
      <w:r w:rsidDel="00000000" w:rsidR="00000000" w:rsidRPr="00000000">
        <w:rPr>
          <w:color w:val="1f1f1f"/>
          <w:rtl w:val="0"/>
        </w:rPr>
        <w:t xml:space="preserve"> Firmas de ciberseguridad documentan ventas continuas en foros como Exploit o XSS de accesos web con privilegios de root a bases de datos gubernamentales y ministerios de salud en países como Colombia, Argentina, Chile y México.</w:t>
      </w:r>
      <w:r w:rsidDel="00000000" w:rsidR="00000000" w:rsidRPr="00000000">
        <w:rPr>
          <w:color w:val="444746"/>
          <w:sz w:val="24"/>
          <w:szCs w:val="24"/>
          <w:vertAlign w:val="superscript"/>
          <w:rtl w:val="0"/>
        </w:rPr>
        <w:t xml:space="preserve">23</w:t>
      </w:r>
    </w:p>
    <w:p w:rsidR="00000000" w:rsidDel="00000000" w:rsidP="00000000" w:rsidRDefault="00000000" w:rsidRPr="00000000" w14:paraId="00000045">
      <w:pPr>
        <w:widowControl w:val="0"/>
        <w:spacing w:after="240" w:line="275.9999942779541" w:lineRule="auto"/>
        <w:jc w:val="both"/>
        <w:rPr>
          <w:color w:val="1f1f1f"/>
        </w:rPr>
      </w:pPr>
      <w:r w:rsidDel="00000000" w:rsidR="00000000" w:rsidRPr="00000000">
        <w:rPr>
          <w:color w:val="1f1f1f"/>
          <w:rtl w:val="0"/>
        </w:rPr>
        <w:t xml:space="preserve">Más críticamente, la constante crisis de migrantes y refugiados en la región LAC crea un vector legal explotable.</w:t>
      </w:r>
      <w:r w:rsidDel="00000000" w:rsidR="00000000" w:rsidRPr="00000000">
        <w:rPr>
          <w:color w:val="444746"/>
          <w:sz w:val="24"/>
          <w:szCs w:val="24"/>
          <w:vertAlign w:val="superscript"/>
          <w:rtl w:val="0"/>
        </w:rPr>
        <w:t xml:space="preserve">29</w:t>
      </w:r>
      <w:r w:rsidDel="00000000" w:rsidR="00000000" w:rsidRPr="00000000">
        <w:rPr>
          <w:color w:val="1f1f1f"/>
          <w:rtl w:val="0"/>
        </w:rPr>
        <w:t xml:space="preserve"> Individuos indocumentados que arriban a países de acogida deben ser procesados legalmente. Un servicio de extracción puede triangular la legalización de una identidad enviando al cliente bajo su nueva fachada a un país tercero con controles migratorios laxos o sistemas de registro susceptibles a corrupción local.</w:t>
      </w:r>
      <w:r w:rsidDel="00000000" w:rsidR="00000000" w:rsidRPr="00000000">
        <w:rPr>
          <w:color w:val="444746"/>
          <w:sz w:val="24"/>
          <w:szCs w:val="24"/>
          <w:vertAlign w:val="superscript"/>
          <w:rtl w:val="0"/>
        </w:rPr>
        <w:t xml:space="preserve">29</w:t>
      </w:r>
      <w:r w:rsidDel="00000000" w:rsidR="00000000" w:rsidRPr="00000000">
        <w:rPr>
          <w:color w:val="1f1f1f"/>
          <w:rtl w:val="0"/>
        </w:rPr>
        <w:t xml:space="preserve"> Mediante el uso de recursos como la emisión de un </w:t>
      </w:r>
      <w:r w:rsidDel="00000000" w:rsidR="00000000" w:rsidRPr="00000000">
        <w:rPr>
          <w:i w:val="1"/>
          <w:iCs w:val="1"/>
          <w:color w:val="1f1f1f"/>
          <w:rtl w:val="0"/>
        </w:rPr>
        <w:t xml:space="preserve">acte de notoriété</w:t>
      </w:r>
      <w:r w:rsidDel="00000000" w:rsidR="00000000" w:rsidRPr="00000000">
        <w:rPr>
          <w:color w:val="1f1f1f"/>
          <w:rtl w:val="0"/>
        </w:rPr>
        <w:t xml:space="preserve"> o sentencias declarativas de tribunales civiles de baja seguridad basados en testimonios orales fabricados, la entidad Frankenstein es inscrita legalmente en el libro vital.</w:t>
      </w:r>
      <w:r w:rsidDel="00000000" w:rsidR="00000000" w:rsidRPr="00000000">
        <w:rPr>
          <w:color w:val="444746"/>
          <w:sz w:val="24"/>
          <w:szCs w:val="24"/>
          <w:vertAlign w:val="superscript"/>
          <w:rtl w:val="0"/>
        </w:rPr>
        <w:t xml:space="preserve">31</w:t>
      </w:r>
      <w:r w:rsidDel="00000000" w:rsidR="00000000" w:rsidRPr="00000000">
        <w:rPr>
          <w:color w:val="1f1f1f"/>
          <w:rtl w:val="0"/>
        </w:rPr>
        <w:t xml:space="preserve"> Una vez en el sistema, la Organización Internacional para las Migraciones u otras ONGs asisten inadvertidamente en la validación de estos documentos para canalizar visados hacia países del primer mundo </w:t>
      </w:r>
      <w:r w:rsidDel="00000000" w:rsidR="00000000" w:rsidRPr="00000000">
        <w:rPr>
          <w:color w:val="444746"/>
          <w:sz w:val="24"/>
          <w:szCs w:val="24"/>
          <w:vertAlign w:val="superscript"/>
          <w:rtl w:val="0"/>
        </w:rPr>
        <w:t xml:space="preserve">30</w:t>
      </w:r>
      <w:r w:rsidDel="00000000" w:rsidR="00000000" w:rsidRPr="00000000">
        <w:rPr>
          <w:color w:val="1f1f1f"/>
          <w:rtl w:val="0"/>
        </w:rPr>
        <w:t xml:space="preserve">, otorgando al cliente extraído un estatus legal globalmente irreprochable.</w:t>
      </w:r>
    </w:p>
    <w:p w:rsidR="00000000" w:rsidDel="00000000" w:rsidP="00000000" w:rsidRDefault="00000000" w:rsidRPr="00000000" w14:paraId="00000046">
      <w:pPr>
        <w:pStyle w:val="Heading2"/>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4. Estrategias de Marketing Encubierto (Dog Whistling y Esteganografía)</w:t>
      </w:r>
    </w:p>
    <w:p w:rsidR="00000000" w:rsidDel="00000000" w:rsidP="00000000" w:rsidRDefault="00000000" w:rsidRPr="00000000" w14:paraId="00000047">
      <w:pPr>
        <w:widowControl w:val="0"/>
        <w:spacing w:after="240" w:line="275.9999942779541" w:lineRule="auto"/>
        <w:jc w:val="both"/>
        <w:rPr>
          <w:color w:val="1f1f1f"/>
        </w:rPr>
      </w:pPr>
      <w:r w:rsidDel="00000000" w:rsidR="00000000" w:rsidRPr="00000000">
        <w:rPr>
          <w:color w:val="1f1f1f"/>
          <w:rtl w:val="0"/>
        </w:rPr>
        <w:t xml:space="preserve">La comercialización B2B de un servicio estrictamente clandestino enfrenta una paradoja operativa inherente: la plataforma debe ser fácilmente localizable e interpretable por individuos de alto patrimonio neto en riesgo inminente, pero debe permanecer simultáneamente inocua, corporativa e indescifrable ante el escrutinio de los algoritmos de moderación de contenido publicitario y las agencias de inteligencia. La arquitectura de adquisición de clientes debe basarse en la simbiosis del </w:t>
      </w:r>
      <w:r w:rsidDel="00000000" w:rsidR="00000000" w:rsidRPr="00000000">
        <w:rPr>
          <w:i w:val="1"/>
          <w:iCs w:val="1"/>
          <w:color w:val="1f1f1f"/>
          <w:rtl w:val="0"/>
        </w:rPr>
        <w:t xml:space="preserve">Dog Whistling</w:t>
      </w:r>
      <w:r w:rsidDel="00000000" w:rsidR="00000000" w:rsidRPr="00000000">
        <w:rPr>
          <w:color w:val="1f1f1f"/>
          <w:rtl w:val="0"/>
        </w:rPr>
        <w:t xml:space="preserve"> psicológico y la esteganografía criptográfica.</w:t>
      </w:r>
    </w:p>
    <w:p w:rsidR="00000000" w:rsidDel="00000000" w:rsidP="00000000" w:rsidRDefault="00000000" w:rsidRPr="00000000" w14:paraId="00000048">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Segmentación Encubierta: Dog Whistling en B2B</w:t>
      </w:r>
    </w:p>
    <w:p w:rsidR="00000000" w:rsidDel="00000000" w:rsidP="00000000" w:rsidRDefault="00000000" w:rsidRPr="00000000" w14:paraId="00000049">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w:t>
      </w:r>
      <w:r w:rsidDel="00000000" w:rsidR="00000000" w:rsidRPr="00000000">
        <w:rPr>
          <w:i w:val="1"/>
          <w:iCs w:val="1"/>
          <w:color w:val="1f1f1f"/>
          <w:rtl w:val="0"/>
        </w:rPr>
        <w:t xml:space="preserve">Dog Whistling</w:t>
      </w:r>
      <w:r w:rsidDel="00000000" w:rsidR="00000000" w:rsidRPr="00000000">
        <w:rPr>
          <w:color w:val="1f1f1f"/>
          <w:rtl w:val="0"/>
        </w:rPr>
        <w:t xml:space="preserve"> (marketing de silbato para perros) es una técnica de redacción persuasiva diseñada para emitir mensajes con capas duales de significado.</w:t>
      </w:r>
      <w:r w:rsidDel="00000000" w:rsidR="00000000" w:rsidRPr="00000000">
        <w:rPr>
          <w:color w:val="444746"/>
          <w:sz w:val="24"/>
          <w:szCs w:val="24"/>
          <w:vertAlign w:val="superscript"/>
          <w:rtl w:val="0"/>
        </w:rPr>
        <w:t xml:space="preserve">32</w:t>
      </w:r>
      <w:r w:rsidDel="00000000" w:rsidR="00000000" w:rsidRPr="00000000">
        <w:rPr>
          <w:color w:val="1f1f1f"/>
          <w:rtl w:val="0"/>
        </w:rPr>
        <w:t xml:space="preserve"> De manera análoga a la frecuencia acústica ultrasónica que solo los caninos perciben mientras el oído humano la ignora, el texto publicitario despliega jerga, </w:t>
      </w:r>
      <w:r w:rsidDel="00000000" w:rsidR="00000000" w:rsidRPr="00000000">
        <w:rPr>
          <w:i w:val="1"/>
          <w:iCs w:val="1"/>
          <w:color w:val="1f1f1f"/>
          <w:rtl w:val="0"/>
        </w:rPr>
        <w:t xml:space="preserve">easter eggs</w:t>
      </w:r>
      <w:r w:rsidDel="00000000" w:rsidR="00000000" w:rsidRPr="00000000">
        <w:rPr>
          <w:color w:val="1f1f1f"/>
          <w:rtl w:val="0"/>
        </w:rPr>
        <w:t xml:space="preserve"> lingüísticos, e incentivos emocionales que resuenan como una señal de auxilio para un nicho ultra-específico, repeliendo activamente al lector promedio.</w:t>
      </w:r>
      <w:r w:rsidDel="00000000" w:rsidR="00000000" w:rsidRPr="00000000">
        <w:rPr>
          <w:color w:val="444746"/>
          <w:sz w:val="24"/>
          <w:szCs w:val="24"/>
          <w:vertAlign w:val="superscript"/>
          <w:rtl w:val="0"/>
        </w:rPr>
        <w:t xml:space="preserve">32</w:t>
      </w:r>
    </w:p>
    <w:p w:rsidR="00000000" w:rsidDel="00000000" w:rsidP="00000000" w:rsidRDefault="00000000" w:rsidRPr="00000000" w14:paraId="0000004A">
      <w:pPr>
        <w:widowControl w:val="0"/>
        <w:spacing w:after="240" w:line="275.9999942779541" w:lineRule="auto"/>
        <w:jc w:val="both"/>
        <w:rPr>
          <w:color w:val="1f1f1f"/>
        </w:rPr>
      </w:pPr>
      <w:r w:rsidDel="00000000" w:rsidR="00000000" w:rsidRPr="00000000">
        <w:rPr>
          <w:color w:val="1f1f1f"/>
          <w:rtl w:val="0"/>
        </w:rPr>
        <w:t xml:space="preserve">En el ámbito del marketing B2B (Business-to-Business) de alto impacto, figuras como Dan Kennedy utilizan la inclusión de umbrales financieros prohibitivos (ej. exigir "días de consultoría privada de 19.000 dólares para clientes corporativos selectos") como un filtro heurístico.</w:t>
      </w:r>
      <w:r w:rsidDel="00000000" w:rsidR="00000000" w:rsidRPr="00000000">
        <w:rPr>
          <w:color w:val="444746"/>
          <w:sz w:val="24"/>
          <w:szCs w:val="24"/>
          <w:vertAlign w:val="superscript"/>
          <w:rtl w:val="0"/>
        </w:rPr>
        <w:t xml:space="preserve">32</w:t>
      </w:r>
      <w:r w:rsidDel="00000000" w:rsidR="00000000" w:rsidRPr="00000000">
        <w:rPr>
          <w:color w:val="1f1f1f"/>
          <w:rtl w:val="0"/>
        </w:rPr>
        <w:t xml:space="preserve"> En el contexto del Proyecto Tabula Rasa, los algoritmos de adquisición sembrarían artículos de liderazgo de opinión y anuncios en revistas financieras </w:t>
      </w:r>
      <w:r w:rsidDel="00000000" w:rsidR="00000000" w:rsidRPr="00000000">
        <w:rPr>
          <w:i w:val="1"/>
          <w:iCs w:val="1"/>
          <w:color w:val="1f1f1f"/>
          <w:rtl w:val="0"/>
        </w:rPr>
        <w:t xml:space="preserve">offshore</w:t>
      </w:r>
      <w:r w:rsidDel="00000000" w:rsidR="00000000" w:rsidRPr="00000000">
        <w:rPr>
          <w:color w:val="1f1f1f"/>
          <w:rtl w:val="0"/>
        </w:rPr>
        <w:t xml:space="preserve">, foros de derecho tributario internacional y publicaciones de gestión patrimonial corporativa.</w:t>
      </w:r>
    </w:p>
    <w:p w:rsidR="00000000" w:rsidDel="00000000" w:rsidP="00000000" w:rsidRDefault="00000000" w:rsidRPr="00000000" w14:paraId="0000004B">
      <w:pPr>
        <w:widowControl w:val="0"/>
        <w:spacing w:after="240" w:line="275.9999942779541" w:lineRule="auto"/>
        <w:jc w:val="both"/>
        <w:rPr>
          <w:color w:val="1f1f1f"/>
        </w:rPr>
      </w:pPr>
      <w:r w:rsidDel="00000000" w:rsidR="00000000" w:rsidRPr="00000000">
        <w:rPr>
          <w:color w:val="1f1f1f"/>
          <w:rtl w:val="0"/>
        </w:rPr>
        <w:t xml:space="preserve">La fachada de la empresa operaría bajo el léxico de servicios de "Consultoría en Mitigación de Riesgos Sistémicos Exponenciales", "Gestión de Sucesión de Soberanía Personal" o "Planes de Continuidad Biográfica". El </w:t>
      </w:r>
      <w:r w:rsidDel="00000000" w:rsidR="00000000" w:rsidRPr="00000000">
        <w:rPr>
          <w:i w:val="1"/>
          <w:iCs w:val="1"/>
          <w:color w:val="1f1f1f"/>
          <w:rtl w:val="0"/>
        </w:rPr>
        <w:t xml:space="preserve">copywriting</w:t>
      </w:r>
      <w:r w:rsidDel="00000000" w:rsidR="00000000" w:rsidRPr="00000000">
        <w:rPr>
          <w:color w:val="1f1f1f"/>
          <w:rtl w:val="0"/>
        </w:rPr>
        <w:t xml:space="preserve"> emplearía términos gatillo que un civil ignoraría por considerarlos jerga corporativa aburrida, pero que para un informante corporativo, un político asediado por el crimen organizado o un oligarca sancionado, constituirían claras indicaciones de un protocolo de escape a la carta.</w:t>
      </w:r>
      <w:r w:rsidDel="00000000" w:rsidR="00000000" w:rsidRPr="00000000">
        <w:rPr>
          <w:color w:val="444746"/>
          <w:sz w:val="24"/>
          <w:szCs w:val="24"/>
          <w:vertAlign w:val="superscript"/>
          <w:rtl w:val="0"/>
        </w:rPr>
        <w:t xml:space="preserve">33</w:t>
      </w:r>
      <w:r w:rsidDel="00000000" w:rsidR="00000000" w:rsidRPr="00000000">
        <w:rPr>
          <w:color w:val="1f1f1f"/>
          <w:rtl w:val="0"/>
        </w:rPr>
        <w:t xml:space="preserve"> Este enfoque maximiza la captación de prospectos viables mientras mantiene una negación plausible perfecta ante reguladores.</w:t>
      </w:r>
    </w:p>
    <w:p w:rsidR="00000000" w:rsidDel="00000000" w:rsidP="00000000" w:rsidRDefault="00000000" w:rsidRPr="00000000" w14:paraId="0000004C">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Canales Ocultos (Covert Channels) y Esteganografía Digital</w:t>
      </w:r>
    </w:p>
    <w:p w:rsidR="00000000" w:rsidDel="00000000" w:rsidP="00000000" w:rsidRDefault="00000000" w:rsidRPr="00000000" w14:paraId="0000004D">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Para transicionar de la publicidad pública hacia el canal de comunicación Mixnet (detallado en la Sección 2), el prospecto debe seguir instrucciones que no dejen rastro de red. Aquí interviene la esteganografía, el arte milenario de ocultar la existencia de un mensaje dentro de un medio inocuo de transporte o cobertura (</w:t>
      </w:r>
      <w:r w:rsidDel="00000000" w:rsidR="00000000" w:rsidRPr="00000000">
        <w:rPr>
          <w:i w:val="1"/>
          <w:iCs w:val="1"/>
          <w:color w:val="1f1f1f"/>
          <w:rtl w:val="0"/>
        </w:rPr>
        <w:t xml:space="preserve">cover file</w:t>
      </w:r>
      <w:r w:rsidDel="00000000" w:rsidR="00000000" w:rsidRPr="00000000">
        <w:rPr>
          <w:color w:val="1f1f1f"/>
          <w:rtl w:val="0"/>
        </w:rPr>
        <w:t xml:space="preserve">), burlando la supervisión digital de regímenes opresivos.</w:t>
      </w:r>
      <w:r w:rsidDel="00000000" w:rsidR="00000000" w:rsidRPr="00000000">
        <w:rPr>
          <w:color w:val="444746"/>
          <w:sz w:val="24"/>
          <w:szCs w:val="24"/>
          <w:vertAlign w:val="superscript"/>
          <w:rtl w:val="0"/>
        </w:rPr>
        <w:t xml:space="preserve">36</w:t>
      </w:r>
    </w:p>
    <w:p w:rsidR="00000000" w:rsidDel="00000000" w:rsidP="00000000" w:rsidRDefault="00000000" w:rsidRPr="00000000" w14:paraId="0000004E">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historia reciente de los servicios de inteligencia demuestra el costo mortal del fracaso en la implementación de canales encubiertos. Entre 2011 y 2012, la CIA de los Estados Unidos operaba un sistema de comunicaciones basado en web para contactar encubiertamente con informantes y activos en Irán y China.</w:t>
      </w:r>
      <w:r w:rsidDel="00000000" w:rsidR="00000000" w:rsidRPr="00000000">
        <w:rPr>
          <w:color w:val="444746"/>
          <w:sz w:val="24"/>
          <w:szCs w:val="24"/>
          <w:vertAlign w:val="superscript"/>
          <w:rtl w:val="0"/>
        </w:rPr>
        <w:t xml:space="preserve">37</w:t>
      </w:r>
      <w:r w:rsidDel="00000000" w:rsidR="00000000" w:rsidRPr="00000000">
        <w:rPr>
          <w:color w:val="1f1f1f"/>
          <w:rtl w:val="0"/>
        </w:rPr>
        <w:t xml:space="preserve"> La arquitectura del canal, que utilizaba dominios aparentemente inocuos como iraniangoals[.]com, presentaba fallas fatales de seguridad, permitiendo que las contrainteligencias de ambos países rastrearan las consultas y descubrieran a docenas de activos, resultando en encarcelamientos y ejecuciones sistemáticas.</w:t>
      </w:r>
      <w:r w:rsidDel="00000000" w:rsidR="00000000" w:rsidRPr="00000000">
        <w:rPr>
          <w:color w:val="444746"/>
          <w:sz w:val="24"/>
          <w:szCs w:val="24"/>
          <w:vertAlign w:val="superscript"/>
          <w:rtl w:val="0"/>
        </w:rPr>
        <w:t xml:space="preserve">37</w:t>
      </w:r>
    </w:p>
    <w:p w:rsidR="00000000" w:rsidDel="00000000" w:rsidP="00000000" w:rsidRDefault="00000000" w:rsidRPr="00000000" w14:paraId="0000004F">
      <w:pPr>
        <w:widowControl w:val="0"/>
        <w:spacing w:after="120" w:line="275.9999942779541" w:lineRule="auto"/>
        <w:jc w:val="both"/>
        <w:rPr>
          <w:color w:val="1f1f1f"/>
        </w:rPr>
      </w:pPr>
      <w:r w:rsidDel="00000000" w:rsidR="00000000" w:rsidRPr="00000000">
        <w:rPr>
          <w:color w:val="1f1f1f"/>
          <w:rtl w:val="0"/>
        </w:rPr>
        <w:t xml:space="preserve">Para evitar una debacle similar, Tabula Rasa debe emplear metodologías esteganográficas dinámicas utilizadas en ciberextracciones y operaciones paramilitares, particularmente sobre canales de audio y video.</w:t>
      </w:r>
      <w:r w:rsidDel="00000000" w:rsidR="00000000" w:rsidRPr="00000000">
        <w:rPr>
          <w:color w:val="444746"/>
          <w:sz w:val="24"/>
          <w:szCs w:val="24"/>
          <w:vertAlign w:val="superscript"/>
          <w:rtl w:val="0"/>
        </w:rPr>
        <w:t xml:space="preserve">38</w:t>
      </w:r>
      <w:r w:rsidDel="00000000" w:rsidR="00000000" w:rsidRPr="00000000">
        <w:rPr>
          <w:color w:val="1f1f1f"/>
          <w:rtl w:val="0"/>
        </w:rPr>
        <w:t xml:space="preserve"> La transmisión de la clave pública para conectar a la Mixnet del servicio se lograría mediante:</w:t>
      </w:r>
    </w:p>
    <w:p w:rsidR="00000000" w:rsidDel="00000000" w:rsidP="00000000" w:rsidRDefault="00000000" w:rsidRPr="00000000" w14:paraId="00000050">
      <w:pPr>
        <w:widowControl w:val="0"/>
        <w:numPr>
          <w:ilvl w:val="0"/>
          <w:numId w:val="2"/>
        </w:numPr>
        <w:spacing w:after="0" w:afterAutospacing="0" w:line="275.9999942779541" w:lineRule="auto"/>
        <w:ind w:left="480" w:hanging="360"/>
        <w:jc w:val="both"/>
      </w:pPr>
      <w:r w:rsidDel="00000000" w:rsidR="00000000" w:rsidRPr="00000000">
        <w:rPr>
          <w:b w:val="1"/>
          <w:bCs w:val="1"/>
          <w:color w:val="1f1f1f"/>
          <w:rtl w:val="0"/>
        </w:rPr>
        <w:t xml:space="preserve">Ocultación por Eco (Echo Hiding):</w:t>
      </w:r>
      <w:r w:rsidDel="00000000" w:rsidR="00000000" w:rsidRPr="00000000">
        <w:rPr>
          <w:color w:val="1f1f1f"/>
          <w:rtl w:val="0"/>
        </w:rPr>
        <w:t xml:space="preserve"> Las instrucciones de enrutamiento se ocultan en archivos de audio (podcasts corporativos o conferencias online alojadas en sitios de la empresa fachada). Se introduce un retraso microscópico del eco en la señal acústica de la voz del presentador. Los bits (0 y 1) se codifican basándose en la amplitud y longitud del eco, lo cual explota la incapacidad de la percepción psicoacústica humana para detectarlo, pasando los controles de escaneo de red de Deep Packet Inspection (DPI) de las agencias gubernamentales.</w:t>
      </w:r>
      <w:r w:rsidDel="00000000" w:rsidR="00000000" w:rsidRPr="00000000">
        <w:rPr>
          <w:color w:val="444746"/>
          <w:sz w:val="24"/>
          <w:szCs w:val="24"/>
          <w:vertAlign w:val="superscript"/>
          <w:rtl w:val="0"/>
        </w:rPr>
        <w:t xml:space="preserve">38</w:t>
      </w:r>
    </w:p>
    <w:p w:rsidR="00000000" w:rsidDel="00000000" w:rsidP="00000000" w:rsidRDefault="00000000" w:rsidRPr="00000000" w14:paraId="00000051">
      <w:pPr>
        <w:widowControl w:val="0"/>
        <w:numPr>
          <w:ilvl w:val="0"/>
          <w:numId w:val="2"/>
        </w:numPr>
        <w:spacing w:after="120" w:before="0" w:beforeAutospacing="0" w:line="275.9999942779541" w:lineRule="auto"/>
        <w:ind w:left="480" w:hanging="360"/>
        <w:jc w:val="both"/>
      </w:pPr>
      <w:r w:rsidDel="00000000" w:rsidR="00000000" w:rsidRPr="00000000">
        <w:rPr>
          <w:b w:val="1"/>
          <w:bCs w:val="1"/>
          <w:color w:val="1f1f1f"/>
          <w:rtl w:val="0"/>
        </w:rPr>
        <w:t xml:space="preserve">Espectro Ensanchado (Spread Spectrum):</w:t>
      </w:r>
      <w:r w:rsidDel="00000000" w:rsidR="00000000" w:rsidRPr="00000000">
        <w:rPr>
          <w:color w:val="1f1f1f"/>
          <w:rtl w:val="0"/>
        </w:rPr>
        <w:t xml:space="preserve"> Alternativamente, la información de contacto y el manifiesto logístico se distribuyen a lo largo de un espectro de frecuencias sumamente amplio dentro de un archivo multimedia. Esto proporciona resiliencia criptográfica contra la interferencia y el ruido; incluso si las agencias enemigas comprimen el video de YouTube o alteran la tasa de bits, el algoritmo de espectro ensanchado permite recuperar los datos ocultos.</w:t>
      </w:r>
      <w:r w:rsidDel="00000000" w:rsidR="00000000" w:rsidRPr="00000000">
        <w:rPr>
          <w:color w:val="444746"/>
          <w:sz w:val="24"/>
          <w:szCs w:val="24"/>
          <w:vertAlign w:val="superscript"/>
          <w:rtl w:val="0"/>
        </w:rPr>
        <w:t xml:space="preserve">38</w:t>
      </w:r>
    </w:p>
    <w:p w:rsidR="00000000" w:rsidDel="00000000" w:rsidP="00000000" w:rsidRDefault="00000000" w:rsidRPr="00000000" w14:paraId="00000052">
      <w:pPr>
        <w:widowControl w:val="0"/>
        <w:spacing w:after="240" w:before="240" w:line="275.9999942779541" w:lineRule="auto"/>
        <w:jc w:val="both"/>
        <w:rPr>
          <w:color w:val="444746"/>
          <w:sz w:val="24"/>
          <w:szCs w:val="24"/>
          <w:vertAlign w:val="superscript"/>
        </w:rPr>
      </w:pPr>
      <w:r w:rsidDel="00000000" w:rsidR="00000000" w:rsidRPr="00000000">
        <w:rPr>
          <w:color w:val="1f1f1f"/>
          <w:rtl w:val="0"/>
        </w:rPr>
        <w:t xml:space="preserve">La distribución de estos enlaces puede complementarse mediante campañas de desinformación isomórficas, inspiradas en las tácticas de la campaña </w:t>
      </w:r>
      <w:r w:rsidDel="00000000" w:rsidR="00000000" w:rsidRPr="00000000">
        <w:rPr>
          <w:i w:val="1"/>
          <w:iCs w:val="1"/>
          <w:color w:val="1f1f1f"/>
          <w:rtl w:val="0"/>
        </w:rPr>
        <w:t xml:space="preserve">DoppelGänger</w:t>
      </w:r>
      <w:r w:rsidDel="00000000" w:rsidR="00000000" w:rsidRPr="00000000">
        <w:rPr>
          <w:color w:val="1f1f1f"/>
          <w:rtl w:val="0"/>
        </w:rPr>
        <w:t xml:space="preserve"> orquestada por entidades rusas.</w:t>
      </w:r>
      <w:r w:rsidDel="00000000" w:rsidR="00000000" w:rsidRPr="00000000">
        <w:rPr>
          <w:color w:val="444746"/>
          <w:sz w:val="24"/>
          <w:szCs w:val="24"/>
          <w:vertAlign w:val="superscript"/>
          <w:rtl w:val="0"/>
        </w:rPr>
        <w:t xml:space="preserve">41</w:t>
      </w:r>
      <w:r w:rsidDel="00000000" w:rsidR="00000000" w:rsidRPr="00000000">
        <w:rPr>
          <w:color w:val="1f1f1f"/>
          <w:rtl w:val="0"/>
        </w:rPr>
        <w:t xml:space="preserve"> Dicha campaña compró nombres de dominio para suplantar o realizar </w:t>
      </w:r>
      <w:r w:rsidDel="00000000" w:rsidR="00000000" w:rsidRPr="00000000">
        <w:rPr>
          <w:i w:val="1"/>
          <w:iCs w:val="1"/>
          <w:color w:val="1f1f1f"/>
          <w:rtl w:val="0"/>
        </w:rPr>
        <w:t xml:space="preserve">cybersquatting</w:t>
      </w:r>
      <w:r w:rsidDel="00000000" w:rsidR="00000000" w:rsidRPr="00000000">
        <w:rPr>
          <w:color w:val="1f1f1f"/>
          <w:rtl w:val="0"/>
        </w:rPr>
        <w:t xml:space="preserve"> de medios legítimos (ej. nato[.]ws en lugar del oficial, o RRN[.]media) y los impulsó a través de redes de bots e IA generativa.</w:t>
      </w:r>
      <w:r w:rsidDel="00000000" w:rsidR="00000000" w:rsidRPr="00000000">
        <w:rPr>
          <w:color w:val="444746"/>
          <w:sz w:val="24"/>
          <w:szCs w:val="24"/>
          <w:vertAlign w:val="superscript"/>
          <w:rtl w:val="0"/>
        </w:rPr>
        <w:t xml:space="preserve">41</w:t>
      </w:r>
      <w:r w:rsidDel="00000000" w:rsidR="00000000" w:rsidRPr="00000000">
        <w:rPr>
          <w:color w:val="1f1f1f"/>
          <w:rtl w:val="0"/>
        </w:rPr>
        <w:t xml:space="preserve"> Tabula Rasa podría inocular sus instrucciones esteganográficas en sitios web clonados de asesoramiento legal internacional, a los que los prospectos llegarían mediante anuncios cuidadosamente dirigidos, logrando que el salto desde la "red clara" (Clear Web) hacia la Dark Web logística ocurra de manera indetectable, en un entorno similar a un "buzón muerto" (Digital Dead Drop).</w:t>
      </w:r>
      <w:r w:rsidDel="00000000" w:rsidR="00000000" w:rsidRPr="00000000">
        <w:rPr>
          <w:color w:val="444746"/>
          <w:sz w:val="24"/>
          <w:szCs w:val="24"/>
          <w:vertAlign w:val="superscript"/>
          <w:rtl w:val="0"/>
        </w:rPr>
        <w:t xml:space="preserve">36</w:t>
      </w:r>
    </w:p>
    <w:p w:rsidR="00000000" w:rsidDel="00000000" w:rsidP="00000000" w:rsidRDefault="00000000" w:rsidRPr="00000000" w14:paraId="00000053">
      <w:pPr>
        <w:pStyle w:val="Heading2"/>
        <w:keepNext w:val="0"/>
        <w:keepLines w:val="0"/>
        <w:widowControl w:val="0"/>
        <w:spacing w:before="0" w:line="275.9999942779541" w:lineRule="auto"/>
        <w:jc w:val="both"/>
        <w:rPr>
          <w:b w:val="1"/>
          <w:bCs w:val="1"/>
          <w:color w:val="1f1f1f"/>
          <w:sz w:val="36"/>
          <w:szCs w:val="36"/>
        </w:rPr>
      </w:pPr>
      <w:r w:rsidDel="00000000" w:rsidR="00000000" w:rsidRPr="00000000">
        <w:rPr>
          <w:b w:val="1"/>
          <w:bCs w:val="1"/>
          <w:color w:val="1f1f1f"/>
          <w:sz w:val="36"/>
          <w:szCs w:val="36"/>
          <w:rtl w:val="0"/>
        </w:rPr>
        <w:t xml:space="preserve">5. Limitaciones y Gestión de Riesgos: El Ecosistema "Vetting"</w:t>
      </w:r>
    </w:p>
    <w:p w:rsidR="00000000" w:rsidDel="00000000" w:rsidP="00000000" w:rsidRDefault="00000000" w:rsidRPr="00000000" w14:paraId="00000054">
      <w:pPr>
        <w:widowControl w:val="0"/>
        <w:spacing w:after="240" w:line="275.9999942779541" w:lineRule="auto"/>
        <w:jc w:val="both"/>
        <w:rPr>
          <w:color w:val="1f1f1f"/>
        </w:rPr>
      </w:pPr>
      <w:r w:rsidDel="00000000" w:rsidR="00000000" w:rsidRPr="00000000">
        <w:rPr>
          <w:color w:val="1f1f1f"/>
          <w:rtl w:val="0"/>
        </w:rPr>
        <w:t xml:space="preserve">El principal riesgo existencial del diseño de un servicio privatizado de protección de identidades, que lo separa de una operación cibercriminal genérica, es la facilitación de sus capacidades a actores designados como amenazas al orden global (terroristas internacionales, oligarcas sancionados o violadores de derechos humanos). Atraer clientes con Notificaciones Rojas de Interpol o designaciones SDN de la OFAC no solo violaría los estatutos éticos de la entidad, sino que atraería inevitablemente ataques cinéticos y cibernéticos devastadores por parte de consorcios de inteligencia estatal de categoría 1, comprometiendo la totalidad del servicio.</w:t>
      </w:r>
    </w:p>
    <w:p w:rsidR="00000000" w:rsidDel="00000000" w:rsidP="00000000" w:rsidRDefault="00000000" w:rsidRPr="00000000" w14:paraId="00000055">
      <w:pPr>
        <w:widowControl w:val="0"/>
        <w:spacing w:after="240" w:line="275.9999942779541" w:lineRule="auto"/>
        <w:jc w:val="both"/>
        <w:rPr>
          <w:color w:val="1f1f1f"/>
        </w:rPr>
      </w:pPr>
      <w:r w:rsidDel="00000000" w:rsidR="00000000" w:rsidRPr="00000000">
        <w:rPr>
          <w:color w:val="1f1f1f"/>
          <w:rtl w:val="0"/>
        </w:rPr>
        <w:t xml:space="preserve">Por consiguiente, el diseño del MVP (Minimum Viable Product) del servicio requiere un "Filtro de Villanos": un sistema de </w:t>
      </w:r>
      <w:r w:rsidDel="00000000" w:rsidR="00000000" w:rsidRPr="00000000">
        <w:rPr>
          <w:i w:val="1"/>
          <w:iCs w:val="1"/>
          <w:color w:val="1f1f1f"/>
          <w:rtl w:val="0"/>
        </w:rPr>
        <w:t xml:space="preserve">Vetting</w:t>
      </w:r>
      <w:r w:rsidDel="00000000" w:rsidR="00000000" w:rsidRPr="00000000">
        <w:rPr>
          <w:color w:val="1f1f1f"/>
          <w:rtl w:val="0"/>
        </w:rPr>
        <w:t xml:space="preserve"> (verificación de antecedentes) perimetral que sea automatizado, en tiempo real, y que integre principios de conocimiento cero para preservar el distanciamiento criptográfico.</w:t>
      </w:r>
    </w:p>
    <w:p w:rsidR="00000000" w:rsidDel="00000000" w:rsidP="00000000" w:rsidRDefault="00000000" w:rsidRPr="00000000" w14:paraId="00000056">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Automatización OSINT de Inteligencia Sancionatoria (APIs OFAC/Interpol)</w:t>
      </w:r>
    </w:p>
    <w:p w:rsidR="00000000" w:rsidDel="00000000" w:rsidP="00000000" w:rsidRDefault="00000000" w:rsidRPr="00000000" w14:paraId="00000057">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proceso de exclusión temprana implica someter las credenciales operativas del prospecto (nombres, alias transaccionales, cuentas corporativas y direcciones de billeteras de criptomonedas) a un análisis de Due Diligence mediante integraciones RESTful API.</w:t>
      </w:r>
      <w:r w:rsidDel="00000000" w:rsidR="00000000" w:rsidRPr="00000000">
        <w:rPr>
          <w:color w:val="444746"/>
          <w:sz w:val="24"/>
          <w:szCs w:val="24"/>
          <w:vertAlign w:val="superscript"/>
          <w:rtl w:val="0"/>
        </w:rPr>
        <w:t xml:space="preserve">44</w:t>
      </w:r>
    </w:p>
    <w:p w:rsidR="00000000" w:rsidDel="00000000" w:rsidP="00000000" w:rsidRDefault="00000000" w:rsidRPr="00000000" w14:paraId="00000058">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protocolo debe interconectar dos bases de datos primarias. En primer lugar, la API de Notificaciones Rojas de la INTERPOL, cuyas listas públicas (extraídas desde endpoints como ws-public.interpol.int) emiten alertas policiales internacionales para localizar a prófugos pendientes de extradición.</w:t>
      </w:r>
      <w:r w:rsidDel="00000000" w:rsidR="00000000" w:rsidRPr="00000000">
        <w:rPr>
          <w:color w:val="444746"/>
          <w:sz w:val="24"/>
          <w:szCs w:val="24"/>
          <w:vertAlign w:val="superscript"/>
          <w:rtl w:val="0"/>
        </w:rPr>
        <w:t xml:space="preserve">46</w:t>
      </w:r>
      <w:r w:rsidDel="00000000" w:rsidR="00000000" w:rsidRPr="00000000">
        <w:rPr>
          <w:color w:val="1f1f1f"/>
          <w:rtl w:val="0"/>
        </w:rPr>
        <w:t xml:space="preserve"> Proyectos de automatización en repositorios como GitHub (ej. </w:t>
      </w:r>
      <w:r w:rsidDel="00000000" w:rsidR="00000000" w:rsidRPr="00000000">
        <w:rPr>
          <w:i w:val="1"/>
          <w:iCs w:val="1"/>
          <w:color w:val="1f1f1f"/>
          <w:rtl w:val="0"/>
        </w:rPr>
        <w:t xml:space="preserve">Interpol-Red-DL</w:t>
      </w:r>
      <w:r w:rsidDel="00000000" w:rsidR="00000000" w:rsidRPr="00000000">
        <w:rPr>
          <w:color w:val="1f1f1f"/>
          <w:rtl w:val="0"/>
        </w:rPr>
        <w:t xml:space="preserve"> o integraciones con Google ADK) permiten la minería y consulta programática de estas bases, configurando algoritmos de limitación de tasa (</w:t>
      </w:r>
      <w:r w:rsidDel="00000000" w:rsidR="00000000" w:rsidRPr="00000000">
        <w:rPr>
          <w:i w:val="1"/>
          <w:iCs w:val="1"/>
          <w:color w:val="1f1f1f"/>
          <w:rtl w:val="0"/>
        </w:rPr>
        <w:t xml:space="preserve">rate-limit delays</w:t>
      </w:r>
      <w:r w:rsidDel="00000000" w:rsidR="00000000" w:rsidRPr="00000000">
        <w:rPr>
          <w:color w:val="1f1f1f"/>
          <w:rtl w:val="0"/>
        </w:rPr>
        <w:t xml:space="preserve">) y estrategias de fuerza bruta para escaneo constante.</w:t>
      </w:r>
      <w:r w:rsidDel="00000000" w:rsidR="00000000" w:rsidRPr="00000000">
        <w:rPr>
          <w:color w:val="444746"/>
          <w:sz w:val="24"/>
          <w:szCs w:val="24"/>
          <w:vertAlign w:val="superscript"/>
          <w:rtl w:val="0"/>
        </w:rPr>
        <w:t xml:space="preserve">48</w:t>
      </w:r>
    </w:p>
    <w:p w:rsidR="00000000" w:rsidDel="00000000" w:rsidP="00000000" w:rsidRDefault="00000000" w:rsidRPr="00000000" w14:paraId="00000059">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En segundo lugar, se debe integrar el escrutinio de la Lista de Nacionales Especialmente Designados y Personas Bloqueadas (SDN) de la OFAC del Departamento del Tesoro de EE. UU. Plataformas desarrolladoras como CompliAPI, Sanctions.io y Visual OFAC proporcionan soluciones empresariales de latencia mínima (~350ms) para consultas en vivo.</w:t>
      </w:r>
      <w:r w:rsidDel="00000000" w:rsidR="00000000" w:rsidRPr="00000000">
        <w:rPr>
          <w:color w:val="444746"/>
          <w:sz w:val="24"/>
          <w:szCs w:val="24"/>
          <w:vertAlign w:val="superscript"/>
          <w:rtl w:val="0"/>
        </w:rPr>
        <w:t xml:space="preserve">45</w:t>
      </w:r>
      <w:r w:rsidDel="00000000" w:rsidR="00000000" w:rsidRPr="00000000">
        <w:rPr>
          <w:color w:val="1f1f1f"/>
          <w:rtl w:val="0"/>
        </w:rPr>
        <w:t xml:space="preserve"> Las regulaciones OFAC prohíben estrictamente transacciones financieras con estas entidades, extendiéndose a la "Regla del 50 Por Ciento" para filiales corporativas.</w:t>
      </w:r>
      <w:r w:rsidDel="00000000" w:rsidR="00000000" w:rsidRPr="00000000">
        <w:rPr>
          <w:color w:val="444746"/>
          <w:sz w:val="24"/>
          <w:szCs w:val="24"/>
          <w:vertAlign w:val="superscript"/>
          <w:rtl w:val="0"/>
        </w:rPr>
        <w:t xml:space="preserve">53</w:t>
      </w:r>
    </w:p>
    <w:p w:rsidR="00000000" w:rsidDel="00000000" w:rsidP="00000000" w:rsidRDefault="00000000" w:rsidRPr="00000000" w14:paraId="0000005A">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núcleo tecnológico del sistema de evaluación automatizado debe incorporar algoritmos avanzados de Lógica Difusa (</w:t>
      </w:r>
      <w:r w:rsidDel="00000000" w:rsidR="00000000" w:rsidRPr="00000000">
        <w:rPr>
          <w:i w:val="1"/>
          <w:iCs w:val="1"/>
          <w:color w:val="1f1f1f"/>
          <w:rtl w:val="0"/>
        </w:rPr>
        <w:t xml:space="preserve">Fuzzy Matching</w:t>
      </w:r>
      <w:r w:rsidDel="00000000" w:rsidR="00000000" w:rsidRPr="00000000">
        <w:rPr>
          <w:color w:val="1f1f1f"/>
          <w:rtl w:val="0"/>
        </w:rPr>
        <w:t xml:space="preserve">) y cálculos de distancia de edición (como Levenshtein).</w:t>
      </w:r>
      <w:r w:rsidDel="00000000" w:rsidR="00000000" w:rsidRPr="00000000">
        <w:rPr>
          <w:color w:val="444746"/>
          <w:sz w:val="24"/>
          <w:szCs w:val="24"/>
          <w:vertAlign w:val="superscript"/>
          <w:rtl w:val="0"/>
        </w:rPr>
        <w:t xml:space="preserve">50</w:t>
      </w:r>
      <w:r w:rsidDel="00000000" w:rsidR="00000000" w:rsidRPr="00000000">
        <w:rPr>
          <w:color w:val="1f1f1f"/>
          <w:rtl w:val="0"/>
        </w:rPr>
        <w:t xml:space="preserve"> Esta tecnología es crítica porque los criminales internacionales rara vez utilizan un formato estándar para su nombre; el sistema debe sopesar similitudes fonéticas, errores de transliteración de alfabetos (ej. del cirílico o árabe al latino) y la disimilitud para minimizar drásticamente las tasas de falsos positivos en el proceso de admisión, permitiendo al servicio discriminar un actor hostil en milisegundos.</w:t>
      </w:r>
      <w:r w:rsidDel="00000000" w:rsidR="00000000" w:rsidRPr="00000000">
        <w:rPr>
          <w:color w:val="444746"/>
          <w:sz w:val="24"/>
          <w:szCs w:val="24"/>
          <w:vertAlign w:val="superscript"/>
          <w:rtl w:val="0"/>
        </w:rPr>
        <w:t xml:space="preserve">50</w:t>
      </w:r>
    </w:p>
    <w:p w:rsidR="00000000" w:rsidDel="00000000" w:rsidP="00000000" w:rsidRDefault="00000000" w:rsidRPr="00000000" w14:paraId="0000005B">
      <w:pPr>
        <w:widowControl w:val="0"/>
        <w:spacing w:line="275.9999942779541" w:lineRule="auto"/>
        <w:jc w:val="both"/>
        <w:rPr>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Endpoint /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Función de Verificación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Arquitectura y Algoritmos requeridos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OFAC Screening API v4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line="275.9999942779541" w:lineRule="auto"/>
              <w:jc w:val="both"/>
              <w:rPr>
                <w:color w:val="444746"/>
                <w:sz w:val="24"/>
                <w:szCs w:val="24"/>
                <w:vertAlign w:val="superscript"/>
              </w:rPr>
            </w:pPr>
            <w:r w:rsidDel="00000000" w:rsidR="00000000" w:rsidRPr="00000000">
              <w:rPr>
                <w:color w:val="1f1f1f"/>
                <w:rtl w:val="0"/>
              </w:rPr>
              <w:t xml:space="preserve">Escrutinio en tiempo real para evitar financiamiento de actores de riesgo global, cárteles y terrorismo.</w:t>
            </w:r>
            <w:r w:rsidDel="00000000" w:rsidR="00000000" w:rsidRPr="00000000">
              <w:rPr>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line="275.9999942779541" w:lineRule="auto"/>
              <w:jc w:val="both"/>
              <w:rPr>
                <w:color w:val="444746"/>
                <w:sz w:val="24"/>
                <w:szCs w:val="24"/>
                <w:vertAlign w:val="superscript"/>
              </w:rPr>
            </w:pPr>
            <w:r w:rsidDel="00000000" w:rsidR="00000000" w:rsidRPr="00000000">
              <w:rPr>
                <w:color w:val="1f1f1f"/>
                <w:rtl w:val="0"/>
              </w:rPr>
              <w:t xml:space="preserve">Algoritmos de Lógica Difusa (</w:t>
            </w:r>
            <w:r w:rsidDel="00000000" w:rsidR="00000000" w:rsidRPr="00000000">
              <w:rPr>
                <w:i w:val="1"/>
                <w:iCs w:val="1"/>
                <w:color w:val="1f1f1f"/>
                <w:rtl w:val="0"/>
              </w:rPr>
              <w:t xml:space="preserve">Fuzzy Logic</w:t>
            </w:r>
            <w:r w:rsidDel="00000000" w:rsidR="00000000" w:rsidRPr="00000000">
              <w:rPr>
                <w:color w:val="1f1f1f"/>
                <w:rtl w:val="0"/>
              </w:rPr>
              <w:t xml:space="preserve">) para considerar métricas de similitud y disimilitud de caracteres en alias.</w:t>
            </w:r>
            <w:r w:rsidDel="00000000" w:rsidR="00000000" w:rsidRPr="00000000">
              <w:rPr>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OFAC Bulk Job API v4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line="275.9999942779541" w:lineRule="auto"/>
              <w:jc w:val="both"/>
              <w:rPr>
                <w:color w:val="444746"/>
                <w:sz w:val="24"/>
                <w:szCs w:val="24"/>
                <w:vertAlign w:val="superscript"/>
              </w:rPr>
            </w:pPr>
            <w:r w:rsidDel="00000000" w:rsidR="00000000" w:rsidRPr="00000000">
              <w:rPr>
                <w:color w:val="1f1f1f"/>
                <w:rtl w:val="0"/>
              </w:rPr>
              <w:t xml:space="preserve">Monitoreo asíncrono y por lotes (hasta 1 millón de registros) para cumplimiento continuo (AML/KYC).</w:t>
            </w:r>
            <w:r w:rsidDel="00000000" w:rsidR="00000000" w:rsidRPr="00000000">
              <w:rPr>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line="275.9999942779541" w:lineRule="auto"/>
              <w:jc w:val="both"/>
              <w:rPr>
                <w:color w:val="444746"/>
                <w:sz w:val="24"/>
                <w:szCs w:val="24"/>
                <w:vertAlign w:val="superscript"/>
              </w:rPr>
            </w:pPr>
            <w:r w:rsidDel="00000000" w:rsidR="00000000" w:rsidRPr="00000000">
              <w:rPr>
                <w:color w:val="1f1f1f"/>
                <w:rtl w:val="0"/>
              </w:rPr>
              <w:t xml:space="preserve">Trabajos programados (/data-info) que cruzan las bases de datos cada 60 minutos con listas de la OFAC actualizadas.</w:t>
            </w:r>
            <w:r w:rsidDel="00000000" w:rsidR="00000000" w:rsidRPr="00000000">
              <w:rPr>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INTERPOL Red Notices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line="275.9999942779541" w:lineRule="auto"/>
              <w:jc w:val="both"/>
              <w:rPr>
                <w:color w:val="444746"/>
                <w:sz w:val="24"/>
                <w:szCs w:val="24"/>
                <w:vertAlign w:val="superscript"/>
              </w:rPr>
            </w:pPr>
            <w:r w:rsidDel="00000000" w:rsidR="00000000" w:rsidRPr="00000000">
              <w:rPr>
                <w:color w:val="1f1f1f"/>
                <w:rtl w:val="0"/>
              </w:rPr>
              <w:t xml:space="preserve">Exclusión de fugitivos buscados por tribunales internacionales para extradición y delitos transfronterizos.</w:t>
            </w:r>
            <w:r w:rsidDel="00000000" w:rsidR="00000000" w:rsidRPr="00000000">
              <w:rPr>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line="275.9999942779541" w:lineRule="auto"/>
              <w:jc w:val="both"/>
              <w:rPr>
                <w:color w:val="444746"/>
                <w:sz w:val="24"/>
                <w:szCs w:val="24"/>
                <w:vertAlign w:val="superscript"/>
              </w:rPr>
            </w:pPr>
            <w:r w:rsidDel="00000000" w:rsidR="00000000" w:rsidRPr="00000000">
              <w:rPr>
                <w:color w:val="1f1f1f"/>
                <w:rtl w:val="0"/>
              </w:rPr>
              <w:t xml:space="preserve">Integración RESTful, manejo de paginación (/v1/red) y consultas iterativas de estrategia de red (Google ADK AI agents).</w:t>
            </w:r>
            <w:r w:rsidDel="00000000" w:rsidR="00000000" w:rsidRPr="00000000">
              <w:rPr>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Sanctions Crypto Wallets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line="275.9999942779541" w:lineRule="auto"/>
              <w:jc w:val="both"/>
              <w:rPr>
                <w:color w:val="444746"/>
                <w:sz w:val="24"/>
                <w:szCs w:val="24"/>
                <w:vertAlign w:val="superscript"/>
              </w:rPr>
            </w:pPr>
            <w:r w:rsidDel="00000000" w:rsidR="00000000" w:rsidRPr="00000000">
              <w:rPr>
                <w:color w:val="1f1f1f"/>
                <w:rtl w:val="0"/>
              </w:rPr>
              <w:t xml:space="preserve">Verificación en la blockchain de fondos provenientes del prospecto antes del despliegue del equipo físico.</w:t>
            </w:r>
            <w:r w:rsidDel="00000000" w:rsidR="00000000" w:rsidRPr="00000000">
              <w:rPr>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line="275.9999942779541" w:lineRule="auto"/>
              <w:jc w:val="both"/>
              <w:rPr>
                <w:color w:val="444746"/>
                <w:sz w:val="24"/>
                <w:szCs w:val="24"/>
                <w:vertAlign w:val="superscript"/>
              </w:rPr>
            </w:pPr>
            <w:r w:rsidDel="00000000" w:rsidR="00000000" w:rsidRPr="00000000">
              <w:rPr>
                <w:i w:val="1"/>
                <w:iCs w:val="1"/>
                <w:color w:val="1f1f1f"/>
                <w:rtl w:val="0"/>
              </w:rPr>
              <w:t xml:space="preserve">Name screening</w:t>
            </w:r>
            <w:r w:rsidDel="00000000" w:rsidR="00000000" w:rsidRPr="00000000">
              <w:rPr>
                <w:color w:val="1f1f1f"/>
                <w:rtl w:val="0"/>
              </w:rPr>
              <w:t xml:space="preserve"> atado a manejadores de depósito y retiro de contratos inteligentes DeFi.</w:t>
            </w:r>
            <w:r w:rsidDel="00000000" w:rsidR="00000000" w:rsidRPr="00000000">
              <w:rPr>
                <w:color w:val="444746"/>
                <w:sz w:val="24"/>
                <w:szCs w:val="24"/>
                <w:vertAlign w:val="superscript"/>
                <w:rtl w:val="0"/>
              </w:rPr>
              <w:t xml:space="preserve">44</w:t>
            </w:r>
          </w:p>
        </w:tc>
      </w:tr>
    </w:tbl>
    <w:p w:rsidR="00000000" w:rsidDel="00000000" w:rsidP="00000000" w:rsidRDefault="00000000" w:rsidRPr="00000000" w14:paraId="0000006B">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Verificación Privada mediante Pruebas de Conocimiento Cero (ZK-KYC)</w:t>
      </w:r>
    </w:p>
    <w:p w:rsidR="00000000" w:rsidDel="00000000" w:rsidP="00000000" w:rsidRDefault="00000000" w:rsidRPr="00000000" w14:paraId="0000006C">
      <w:pPr>
        <w:widowControl w:val="0"/>
        <w:spacing w:after="240" w:line="275.9999942779541" w:lineRule="auto"/>
        <w:jc w:val="both"/>
        <w:rPr>
          <w:color w:val="1f1f1f"/>
        </w:rPr>
      </w:pPr>
      <w:r w:rsidDel="00000000" w:rsidR="00000000" w:rsidRPr="00000000">
        <w:rPr>
          <w:color w:val="1f1f1f"/>
          <w:rtl w:val="0"/>
        </w:rPr>
        <w:t xml:space="preserve">La integración directa de las APIs de verificación plantea un conflicto masivo de Privacy by Design. Si la infraestructura central de Tabula Rasa procesa directamente los pasaportes, fotografías y direcciones del cliente potencial para cotejarlos contra la OFAC y la INTERPOL, la organización se convierte instantáneamente en un "Honeypot" (tarro de miel) de datos de identidad masiva.</w:t>
      </w:r>
      <w:r w:rsidDel="00000000" w:rsidR="00000000" w:rsidRPr="00000000">
        <w:rPr>
          <w:color w:val="444746"/>
          <w:sz w:val="24"/>
          <w:szCs w:val="24"/>
          <w:vertAlign w:val="superscript"/>
          <w:rtl w:val="0"/>
        </w:rPr>
        <w:t xml:space="preserve">56</w:t>
      </w:r>
      <w:r w:rsidDel="00000000" w:rsidR="00000000" w:rsidRPr="00000000">
        <w:rPr>
          <w:color w:val="1f1f1f"/>
          <w:rtl w:val="0"/>
        </w:rPr>
        <w:t xml:space="preserve"> Como demuestra el ataque al servidor autónomo del USMS en 2023, la recolección de PII asegura su eventual compromiso por amenaza interna o cibernética.</w:t>
      </w:r>
      <w:r w:rsidDel="00000000" w:rsidR="00000000" w:rsidRPr="00000000">
        <w:rPr>
          <w:color w:val="444746"/>
          <w:sz w:val="24"/>
          <w:szCs w:val="24"/>
          <w:vertAlign w:val="superscript"/>
          <w:rtl w:val="0"/>
        </w:rPr>
        <w:t xml:space="preserve">8</w:t>
      </w:r>
      <w:r w:rsidDel="00000000" w:rsidR="00000000" w:rsidRPr="00000000">
        <w:rPr>
          <w:color w:val="1f1f1f"/>
          <w:rtl w:val="0"/>
        </w:rPr>
        <w:t xml:space="preserve"> Si los servidores de Tabula Rasa fuesen allanados o vulnerados, exponer la identidad real del cliente y su nueva identidad sintética anularía el propósito existencial de la firma.</w:t>
      </w:r>
    </w:p>
    <w:p w:rsidR="00000000" w:rsidDel="00000000" w:rsidP="00000000" w:rsidRDefault="00000000" w:rsidRPr="00000000" w14:paraId="0000006D">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La resolución teórica reside en la arquitectura de Pruebas de Conocimiento Cero (</w:t>
      </w:r>
      <w:r w:rsidDel="00000000" w:rsidR="00000000" w:rsidRPr="00000000">
        <w:rPr>
          <w:i w:val="1"/>
          <w:iCs w:val="1"/>
          <w:color w:val="1f1f1f"/>
          <w:rtl w:val="0"/>
        </w:rPr>
        <w:t xml:space="preserve">Zero-Knowledge Proofs</w:t>
      </w:r>
      <w:r w:rsidDel="00000000" w:rsidR="00000000" w:rsidRPr="00000000">
        <w:rPr>
          <w:color w:val="1f1f1f"/>
          <w:rtl w:val="0"/>
        </w:rPr>
        <w:t xml:space="preserve"> o ZKP), aplicada a un marco de Conozca a su Cliente Anónimo (ZK-KYC).</w:t>
      </w:r>
      <w:r w:rsidDel="00000000" w:rsidR="00000000" w:rsidRPr="00000000">
        <w:rPr>
          <w:color w:val="444746"/>
          <w:sz w:val="24"/>
          <w:szCs w:val="24"/>
          <w:vertAlign w:val="superscript"/>
          <w:rtl w:val="0"/>
        </w:rPr>
        <w:t xml:space="preserve">57</w:t>
      </w:r>
      <w:r w:rsidDel="00000000" w:rsidR="00000000" w:rsidRPr="00000000">
        <w:rPr>
          <w:color w:val="1f1f1f"/>
          <w:rtl w:val="0"/>
        </w:rPr>
        <w:t xml:space="preserve"> Un protocolo ZKP permite que una parte (el Probador) demuestre fehacientemente a otra parte (el Verificador) que una declaración es verdadera, sin revelar un solo byte de la información biográfica subyacente que justifica dicha verdad.</w:t>
      </w:r>
      <w:r w:rsidDel="00000000" w:rsidR="00000000" w:rsidRPr="00000000">
        <w:rPr>
          <w:color w:val="444746"/>
          <w:sz w:val="24"/>
          <w:szCs w:val="24"/>
          <w:vertAlign w:val="superscript"/>
          <w:rtl w:val="0"/>
        </w:rPr>
        <w:t xml:space="preserve">59</w:t>
      </w:r>
    </w:p>
    <w:p w:rsidR="00000000" w:rsidDel="00000000" w:rsidP="00000000" w:rsidRDefault="00000000" w:rsidRPr="00000000" w14:paraId="0000006E">
      <w:pPr>
        <w:widowControl w:val="0"/>
        <w:spacing w:after="240" w:line="275.9999942779541" w:lineRule="auto"/>
        <w:jc w:val="both"/>
        <w:rPr>
          <w:color w:val="444746"/>
          <w:sz w:val="24"/>
          <w:szCs w:val="24"/>
          <w:vertAlign w:val="superscript"/>
        </w:rPr>
      </w:pPr>
      <w:r w:rsidDel="00000000" w:rsidR="00000000" w:rsidRPr="00000000">
        <w:rPr>
          <w:color w:val="1f1f1f"/>
          <w:rtl w:val="0"/>
        </w:rPr>
        <w:t xml:space="preserve">El flujo de trabajo descentralizado se soportaría sobre ecosistemas como Polygon ID (renombrado a Privado ID), el cual se basa en el protocolo Iden3 y la herramienta Circom 2.0 para compilar circuitos criptográficos denominados zk-SNARKs (Zero-Knowledge Succinct Non-Interactive Arguments of Knowledge).</w:t>
      </w:r>
      <w:r w:rsidDel="00000000" w:rsidR="00000000" w:rsidRPr="00000000">
        <w:rPr>
          <w:color w:val="444746"/>
          <w:sz w:val="24"/>
          <w:szCs w:val="24"/>
          <w:vertAlign w:val="superscript"/>
          <w:rtl w:val="0"/>
        </w:rPr>
        <w:t xml:space="preserve">60</w:t>
      </w:r>
      <w:r w:rsidDel="00000000" w:rsidR="00000000" w:rsidRPr="00000000">
        <w:rPr>
          <w:color w:val="1f1f1f"/>
          <w:rtl w:val="0"/>
        </w:rPr>
        <w:t xml:space="preserve"> Los zk-SNARKs garantizan tres principios matemáticos irrompibles: Compleción (un verificador honesto siempre creerá a un probador honesto), Solidez (un probador deshonesto no puede falsear la prueba) y Conocimiento Cero (el verificador no aprende nada más allá del valor booleano resultante).</w:t>
      </w:r>
      <w:r w:rsidDel="00000000" w:rsidR="00000000" w:rsidRPr="00000000">
        <w:rPr>
          <w:color w:val="444746"/>
          <w:sz w:val="24"/>
          <w:szCs w:val="24"/>
          <w:vertAlign w:val="superscript"/>
          <w:rtl w:val="0"/>
        </w:rPr>
        <w:t xml:space="preserve">60</w:t>
      </w:r>
    </w:p>
    <w:p w:rsidR="00000000" w:rsidDel="00000000" w:rsidP="00000000" w:rsidRDefault="00000000" w:rsidRPr="00000000" w14:paraId="0000006F">
      <w:pPr>
        <w:widowControl w:val="0"/>
        <w:spacing w:after="120" w:line="275.9999942779541" w:lineRule="auto"/>
        <w:jc w:val="both"/>
        <w:rPr>
          <w:color w:val="1f1f1f"/>
        </w:rPr>
      </w:pPr>
      <w:r w:rsidDel="00000000" w:rsidR="00000000" w:rsidRPr="00000000">
        <w:rPr>
          <w:color w:val="1f1f1f"/>
          <w:rtl w:val="0"/>
        </w:rPr>
        <w:t xml:space="preserve">La implementación práctica del Vetting System operaría bajo el siguiente conducto inrastreable:</w:t>
      </w:r>
    </w:p>
    <w:p w:rsidR="00000000" w:rsidDel="00000000" w:rsidP="00000000" w:rsidRDefault="00000000" w:rsidRPr="00000000" w14:paraId="00000070">
      <w:pPr>
        <w:widowControl w:val="0"/>
        <w:numPr>
          <w:ilvl w:val="0"/>
          <w:numId w:val="1"/>
        </w:numPr>
        <w:spacing w:after="0" w:afterAutospacing="0" w:line="275.9999942779541" w:lineRule="auto"/>
        <w:ind w:left="480" w:hanging="360"/>
        <w:jc w:val="both"/>
      </w:pPr>
      <w:r w:rsidDel="00000000" w:rsidR="00000000" w:rsidRPr="00000000">
        <w:rPr>
          <w:b w:val="1"/>
          <w:bCs w:val="1"/>
          <w:color w:val="1f1f1f"/>
          <w:rtl w:val="0"/>
        </w:rPr>
        <w:t xml:space="preserve">El Emisor Externo (The Issuer):</w:t>
      </w:r>
      <w:r w:rsidDel="00000000" w:rsidR="00000000" w:rsidRPr="00000000">
        <w:rPr>
          <w:color w:val="1f1f1f"/>
          <w:rtl w:val="0"/>
        </w:rPr>
        <w:t xml:space="preserve"> El prospecto contrata un servicio externo legítimo e independiente (ej. una firma auditora legal global en un estado neutral). Esta firma realiza el análisis de KYC intrusivo (pasaportes, verificación biométrica, cruces de bases de datos AML/OFAC).</w:t>
      </w:r>
      <w:r w:rsidDel="00000000" w:rsidR="00000000" w:rsidRPr="00000000">
        <w:rPr>
          <w:color w:val="444746"/>
          <w:sz w:val="24"/>
          <w:szCs w:val="24"/>
          <w:vertAlign w:val="superscript"/>
          <w:rtl w:val="0"/>
        </w:rPr>
        <w:t xml:space="preserve">63</w:t>
      </w:r>
    </w:p>
    <w:p w:rsidR="00000000" w:rsidDel="00000000" w:rsidP="00000000" w:rsidRDefault="00000000" w:rsidRPr="00000000" w14:paraId="00000071">
      <w:pPr>
        <w:widowControl w:val="0"/>
        <w:numPr>
          <w:ilvl w:val="0"/>
          <w:numId w:val="1"/>
        </w:numPr>
        <w:spacing w:after="0" w:afterAutospacing="0" w:before="0" w:beforeAutospacing="0" w:line="275.9999942779541" w:lineRule="auto"/>
        <w:ind w:left="480" w:hanging="360"/>
        <w:jc w:val="both"/>
      </w:pPr>
      <w:r w:rsidDel="00000000" w:rsidR="00000000" w:rsidRPr="00000000">
        <w:rPr>
          <w:b w:val="1"/>
          <w:bCs w:val="1"/>
          <w:color w:val="1f1f1f"/>
          <w:rtl w:val="0"/>
        </w:rPr>
        <w:t xml:space="preserve">Credencial Verificable W3C (VC):</w:t>
      </w:r>
      <w:r w:rsidDel="00000000" w:rsidR="00000000" w:rsidRPr="00000000">
        <w:rPr>
          <w:color w:val="1f1f1f"/>
          <w:rtl w:val="0"/>
        </w:rPr>
        <w:t xml:space="preserve"> Una vez que la firma confirma que el prospecto está libre de acusaciones sancionatorias, emite una Credencial Verificable digital, firmada criptográficamente, directamente a la billetera digital (Smart Contract Wallet) descentralizada en el dispositivo del prospecto.</w:t>
      </w:r>
      <w:r w:rsidDel="00000000" w:rsidR="00000000" w:rsidRPr="00000000">
        <w:rPr>
          <w:color w:val="444746"/>
          <w:sz w:val="24"/>
          <w:szCs w:val="24"/>
          <w:vertAlign w:val="superscript"/>
          <w:rtl w:val="0"/>
        </w:rPr>
        <w:t xml:space="preserve">62</w:t>
      </w:r>
    </w:p>
    <w:p w:rsidR="00000000" w:rsidDel="00000000" w:rsidP="00000000" w:rsidRDefault="00000000" w:rsidRPr="00000000" w14:paraId="00000072">
      <w:pPr>
        <w:widowControl w:val="0"/>
        <w:numPr>
          <w:ilvl w:val="0"/>
          <w:numId w:val="1"/>
        </w:numPr>
        <w:spacing w:after="0" w:afterAutospacing="0" w:before="0" w:beforeAutospacing="0" w:line="275.9999942779541" w:lineRule="auto"/>
        <w:ind w:left="480" w:hanging="360"/>
        <w:jc w:val="both"/>
      </w:pPr>
      <w:r w:rsidDel="00000000" w:rsidR="00000000" w:rsidRPr="00000000">
        <w:rPr>
          <w:b w:val="1"/>
          <w:bCs w:val="1"/>
          <w:color w:val="1f1f1f"/>
          <w:rtl w:val="0"/>
        </w:rPr>
        <w:t xml:space="preserve">Petición del Servicio Tabula Rasa:</w:t>
      </w:r>
      <w:r w:rsidDel="00000000" w:rsidR="00000000" w:rsidRPr="00000000">
        <w:rPr>
          <w:color w:val="1f1f1f"/>
          <w:rtl w:val="0"/>
        </w:rPr>
        <w:t xml:space="preserve"> El servidor de la plataforma clandestina actúa como verificador, emitiendo una Petición de Prueba ZK (</w:t>
      </w:r>
      <w:r w:rsidDel="00000000" w:rsidR="00000000" w:rsidRPr="00000000">
        <w:rPr>
          <w:i w:val="1"/>
          <w:iCs w:val="1"/>
          <w:color w:val="1f1f1f"/>
          <w:rtl w:val="0"/>
        </w:rPr>
        <w:t xml:space="preserve">zkProof Request Lenguage</w:t>
      </w:r>
      <w:r w:rsidDel="00000000" w:rsidR="00000000" w:rsidRPr="00000000">
        <w:rPr>
          <w:color w:val="1f1f1f"/>
          <w:rtl w:val="0"/>
        </w:rPr>
        <w:t xml:space="preserve">) estructurada para preguntar: ¿Está el cliente validado por el Emisor Externo como 'Libre de Sanciones Interpol/OFAC'?.</w:t>
      </w:r>
      <w:r w:rsidDel="00000000" w:rsidR="00000000" w:rsidRPr="00000000">
        <w:rPr>
          <w:color w:val="444746"/>
          <w:sz w:val="24"/>
          <w:szCs w:val="24"/>
          <w:vertAlign w:val="superscript"/>
          <w:rtl w:val="0"/>
        </w:rPr>
        <w:t xml:space="preserve">62</w:t>
      </w:r>
    </w:p>
    <w:p w:rsidR="00000000" w:rsidDel="00000000" w:rsidP="00000000" w:rsidRDefault="00000000" w:rsidRPr="00000000" w14:paraId="00000073">
      <w:pPr>
        <w:widowControl w:val="0"/>
        <w:numPr>
          <w:ilvl w:val="0"/>
          <w:numId w:val="1"/>
        </w:numPr>
        <w:spacing w:after="120" w:before="0" w:beforeAutospacing="0" w:line="275.9999942779541" w:lineRule="auto"/>
        <w:ind w:left="480" w:hanging="360"/>
        <w:jc w:val="both"/>
      </w:pPr>
      <w:r w:rsidDel="00000000" w:rsidR="00000000" w:rsidRPr="00000000">
        <w:rPr>
          <w:b w:val="1"/>
          <w:bCs w:val="1"/>
          <w:color w:val="1f1f1f"/>
          <w:rtl w:val="0"/>
        </w:rPr>
        <w:t xml:space="preserve">Validación ZK Matemática:</w:t>
      </w:r>
      <w:r w:rsidDel="00000000" w:rsidR="00000000" w:rsidRPr="00000000">
        <w:rPr>
          <w:color w:val="1f1f1f"/>
          <w:rtl w:val="0"/>
        </w:rPr>
        <w:t xml:space="preserve"> La billetera móvil del prospecto, localmente y sin conexión al servidor central, procesa la Credencial Verificable a través del circuito zk-SNARK y devuelve una firma hash compacta a Tabula Rasa. El contrato inteligente de Tabula Rasa valida la firma matemática en la blockchain y procesa un Verdadero, otorgándole automáticamente al prospecto el token de acceso criptográfico a la Mixnet para iniciar las operaciones de extracción.</w:t>
      </w:r>
      <w:r w:rsidDel="00000000" w:rsidR="00000000" w:rsidRPr="00000000">
        <w:rPr>
          <w:color w:val="444746"/>
          <w:sz w:val="24"/>
          <w:szCs w:val="24"/>
          <w:vertAlign w:val="superscript"/>
          <w:rtl w:val="0"/>
        </w:rPr>
        <w:t xml:space="preserve">63</w:t>
      </w:r>
    </w:p>
    <w:p w:rsidR="00000000" w:rsidDel="00000000" w:rsidP="00000000" w:rsidRDefault="00000000" w:rsidRPr="00000000" w14:paraId="00000074">
      <w:pPr>
        <w:widowControl w:val="0"/>
        <w:spacing w:after="255" w:before="240" w:line="275.9999942779541" w:lineRule="auto"/>
        <w:jc w:val="both"/>
        <w:rPr>
          <w:color w:val="1f1f1f"/>
        </w:rPr>
      </w:pPr>
      <w:r w:rsidDel="00000000" w:rsidR="00000000" w:rsidRPr="00000000">
        <w:rPr>
          <w:color w:val="1f1f1f"/>
          <w:rtl w:val="0"/>
        </w:rPr>
        <w:t xml:space="preserve">Mediante este conducto de </w:t>
      </w:r>
      <w:r w:rsidDel="00000000" w:rsidR="00000000" w:rsidRPr="00000000">
        <w:rPr>
          <w:i w:val="1"/>
          <w:iCs w:val="1"/>
          <w:color w:val="1f1f1f"/>
          <w:rtl w:val="0"/>
        </w:rPr>
        <w:t xml:space="preserve">Privacy by Design</w:t>
      </w:r>
      <w:r w:rsidDel="00000000" w:rsidR="00000000" w:rsidRPr="00000000">
        <w:rPr>
          <w:color w:val="1f1f1f"/>
          <w:rtl w:val="0"/>
        </w:rPr>
        <w:t xml:space="preserve">, Tabula Rasa automatiza un </w:t>
      </w:r>
      <w:r w:rsidDel="00000000" w:rsidR="00000000" w:rsidRPr="00000000">
        <w:rPr>
          <w:i w:val="1"/>
          <w:iCs w:val="1"/>
          <w:color w:val="1f1f1f"/>
          <w:rtl w:val="0"/>
        </w:rPr>
        <w:t xml:space="preserve">Vetting</w:t>
      </w:r>
      <w:r w:rsidDel="00000000" w:rsidR="00000000" w:rsidRPr="00000000">
        <w:rPr>
          <w:color w:val="1f1f1f"/>
          <w:rtl w:val="0"/>
        </w:rPr>
        <w:t xml:space="preserve"> perfecto contra el terrorismo y criminales sancionados, sin poseer, procesar o almacenar un solo dato demográfico. Si las infraestructuras de la organización son confiscadas en el futuro, los analistas forenses del Estado adversario solo encontrarán algoritmos de validación de hashes aleatorios, garantizando la plausibilidad de negación del servicio y la protección total de las vidas reubicadas bajo el programa.</w:t>
      </w:r>
    </w:p>
    <w:p w:rsidR="00000000" w:rsidDel="00000000" w:rsidP="00000000" w:rsidRDefault="00000000" w:rsidRPr="00000000" w14:paraId="00000075">
      <w:pPr>
        <w:pStyle w:val="Heading4"/>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Obras citadas</w:t>
      </w:r>
    </w:p>
    <w:p w:rsidR="00000000" w:rsidDel="00000000" w:rsidP="00000000" w:rsidRDefault="00000000" w:rsidRPr="00000000" w14:paraId="00000076">
      <w:pPr>
        <w:widowControl w:val="0"/>
        <w:numPr>
          <w:ilvl w:val="0"/>
          <w:numId w:val="3"/>
        </w:numPr>
        <w:spacing w:line="240" w:lineRule="auto"/>
        <w:ind w:left="600" w:hanging="360"/>
        <w:jc w:val="both"/>
      </w:pPr>
      <w:r w:rsidDel="00000000" w:rsidR="00000000" w:rsidRPr="00000000">
        <w:rPr>
          <w:sz w:val="24"/>
          <w:szCs w:val="24"/>
          <w:rtl w:val="0"/>
        </w:rPr>
        <w:t xml:space="preserve">Jōhatsu - Wikipedia, fecha de acceso: abril 9, 2026, </w:t>
      </w:r>
      <w:hyperlink r:id="rId9">
        <w:r w:rsidDel="00000000" w:rsidR="00000000" w:rsidRPr="00000000">
          <w:rPr>
            <w:color w:val="0000ee"/>
            <w:sz w:val="24"/>
            <w:szCs w:val="24"/>
            <w:u w:val="single"/>
            <w:rtl w:val="0"/>
          </w:rPr>
          <w:t xml:space="preserve">https://en.wikipedia.org/wiki/J%C5%8Dhatsu</w:t>
        </w:r>
      </w:hyperlink>
      <w:r w:rsidDel="00000000" w:rsidR="00000000" w:rsidRPr="00000000">
        <w:rPr>
          <w:rtl w:val="0"/>
        </w:rPr>
      </w:r>
    </w:p>
    <w:p w:rsidR="00000000" w:rsidDel="00000000" w:rsidP="00000000" w:rsidRDefault="00000000" w:rsidRPr="00000000" w14:paraId="00000077">
      <w:pPr>
        <w:widowControl w:val="0"/>
        <w:numPr>
          <w:ilvl w:val="0"/>
          <w:numId w:val="3"/>
        </w:numPr>
        <w:spacing w:line="240" w:lineRule="auto"/>
        <w:ind w:left="600" w:hanging="360"/>
        <w:jc w:val="both"/>
      </w:pPr>
      <w:r w:rsidDel="00000000" w:rsidR="00000000" w:rsidRPr="00000000">
        <w:rPr>
          <w:sz w:val="24"/>
          <w:szCs w:val="24"/>
          <w:rtl w:val="0"/>
        </w:rPr>
        <w:t xml:space="preserve">Japanese 'Night Moving' Companies Help People Vanish Without A Trace : r/Tokyo - Reddit, fecha de acceso: abril 9, 2026, </w:t>
      </w:r>
      <w:hyperlink r:id="rId10">
        <w:r w:rsidDel="00000000" w:rsidR="00000000" w:rsidRPr="00000000">
          <w:rPr>
            <w:color w:val="0000ee"/>
            <w:sz w:val="24"/>
            <w:szCs w:val="24"/>
            <w:u w:val="single"/>
            <w:rtl w:val="0"/>
          </w:rPr>
          <w:t xml:space="preserve">https://www.reddit.com/r/Tokyo/comments/rpp19j/japanese_night_moving_companies_help_people/</w:t>
        </w:r>
      </w:hyperlink>
      <w:r w:rsidDel="00000000" w:rsidR="00000000" w:rsidRPr="00000000">
        <w:rPr>
          <w:rtl w:val="0"/>
        </w:rPr>
      </w:r>
    </w:p>
    <w:p w:rsidR="00000000" w:rsidDel="00000000" w:rsidP="00000000" w:rsidRDefault="00000000" w:rsidRPr="00000000" w14:paraId="00000078">
      <w:pPr>
        <w:widowControl w:val="0"/>
        <w:numPr>
          <w:ilvl w:val="0"/>
          <w:numId w:val="3"/>
        </w:numPr>
        <w:spacing w:line="240" w:lineRule="auto"/>
        <w:ind w:left="600" w:hanging="360"/>
        <w:jc w:val="both"/>
      </w:pPr>
      <w:r w:rsidDel="00000000" w:rsidR="00000000" w:rsidRPr="00000000">
        <w:rPr>
          <w:sz w:val="24"/>
          <w:szCs w:val="24"/>
          <w:rtl w:val="0"/>
        </w:rPr>
        <w:t xml:space="preserve">The Bizarre Japanese Companies That Help People Disappear - News On Japan, fecha de acceso: abril 9, 2026, </w:t>
      </w:r>
      <w:hyperlink r:id="rId11">
        <w:r w:rsidDel="00000000" w:rsidR="00000000" w:rsidRPr="00000000">
          <w:rPr>
            <w:color w:val="0000ee"/>
            <w:sz w:val="24"/>
            <w:szCs w:val="24"/>
            <w:u w:val="single"/>
            <w:rtl w:val="0"/>
          </w:rPr>
          <w:t xml:space="preserve">https://newsonjapan.com/article/130030.php</w:t>
        </w:r>
      </w:hyperlink>
      <w:r w:rsidDel="00000000" w:rsidR="00000000" w:rsidRPr="00000000">
        <w:rPr>
          <w:rtl w:val="0"/>
        </w:rPr>
      </w:r>
    </w:p>
    <w:p w:rsidR="00000000" w:rsidDel="00000000" w:rsidP="00000000" w:rsidRDefault="00000000" w:rsidRPr="00000000" w14:paraId="00000079">
      <w:pPr>
        <w:widowControl w:val="0"/>
        <w:numPr>
          <w:ilvl w:val="0"/>
          <w:numId w:val="3"/>
        </w:numPr>
        <w:spacing w:line="240" w:lineRule="auto"/>
        <w:ind w:left="600" w:hanging="360"/>
        <w:jc w:val="both"/>
      </w:pPr>
      <w:r w:rsidDel="00000000" w:rsidR="00000000" w:rsidRPr="00000000">
        <w:rPr>
          <w:sz w:val="24"/>
          <w:szCs w:val="24"/>
          <w:rtl w:val="0"/>
        </w:rPr>
        <w:t xml:space="preserve">MBA Trivia: Yonige-Ya - Hopkins, fecha de acceso: abril 9, 2026, </w:t>
      </w:r>
      <w:hyperlink r:id="rId12">
        <w:r w:rsidDel="00000000" w:rsidR="00000000" w:rsidRPr="00000000">
          <w:rPr>
            <w:color w:val="0000ee"/>
            <w:sz w:val="24"/>
            <w:szCs w:val="24"/>
            <w:u w:val="single"/>
            <w:rtl w:val="0"/>
          </w:rPr>
          <w:t xml:space="preserve">https://www.hopkins.edu.hk/en/news/Yonige-Ya/</w:t>
        </w:r>
      </w:hyperlink>
      <w:r w:rsidDel="00000000" w:rsidR="00000000" w:rsidRPr="00000000">
        <w:rPr>
          <w:rtl w:val="0"/>
        </w:rPr>
      </w:r>
    </w:p>
    <w:p w:rsidR="00000000" w:rsidDel="00000000" w:rsidP="00000000" w:rsidRDefault="00000000" w:rsidRPr="00000000" w14:paraId="0000007A">
      <w:pPr>
        <w:widowControl w:val="0"/>
        <w:numPr>
          <w:ilvl w:val="0"/>
          <w:numId w:val="3"/>
        </w:numPr>
        <w:spacing w:line="240" w:lineRule="auto"/>
        <w:ind w:left="600" w:hanging="360"/>
        <w:jc w:val="both"/>
      </w:pPr>
      <w:r w:rsidDel="00000000" w:rsidR="00000000" w:rsidRPr="00000000">
        <w:rPr>
          <w:sz w:val="24"/>
          <w:szCs w:val="24"/>
          <w:rtl w:val="0"/>
        </w:rPr>
        <w:t xml:space="preserve">Johatsu: Vanishing without a trace in Japan | JOBS IN JAPAN, fecha de acceso: abril 9, 2026, </w:t>
      </w:r>
      <w:hyperlink r:id="rId13">
        <w:r w:rsidDel="00000000" w:rsidR="00000000" w:rsidRPr="00000000">
          <w:rPr>
            <w:color w:val="0000ee"/>
            <w:sz w:val="24"/>
            <w:szCs w:val="24"/>
            <w:u w:val="single"/>
            <w:rtl w:val="0"/>
          </w:rPr>
          <w:t xml:space="preserve">https://jobsinjapan.com/living-in-japan-guide/johatsu-vanishing-without-a-trace-in-japan/</w:t>
        </w:r>
      </w:hyperlink>
      <w:r w:rsidDel="00000000" w:rsidR="00000000" w:rsidRPr="00000000">
        <w:rPr>
          <w:rtl w:val="0"/>
        </w:rPr>
      </w:r>
    </w:p>
    <w:p w:rsidR="00000000" w:rsidDel="00000000" w:rsidP="00000000" w:rsidRDefault="00000000" w:rsidRPr="00000000" w14:paraId="0000007B">
      <w:pPr>
        <w:widowControl w:val="0"/>
        <w:numPr>
          <w:ilvl w:val="0"/>
          <w:numId w:val="3"/>
        </w:numPr>
        <w:spacing w:line="240" w:lineRule="auto"/>
        <w:ind w:left="600" w:hanging="360"/>
        <w:jc w:val="both"/>
      </w:pPr>
      <w:r w:rsidDel="00000000" w:rsidR="00000000" w:rsidRPr="00000000">
        <w:rPr>
          <w:sz w:val="24"/>
          <w:szCs w:val="24"/>
          <w:rtl w:val="0"/>
        </w:rPr>
        <w:t xml:space="preserve">Good Practices for the Protection of Witnesses in Criminal Proceedings Involving Organized Crime - Unodc, fecha de acceso: abril 9, 2026, </w:t>
      </w:r>
      <w:hyperlink r:id="rId14">
        <w:r w:rsidDel="00000000" w:rsidR="00000000" w:rsidRPr="00000000">
          <w:rPr>
            <w:color w:val="0000ee"/>
            <w:sz w:val="24"/>
            <w:szCs w:val="24"/>
            <w:u w:val="single"/>
            <w:rtl w:val="0"/>
          </w:rPr>
          <w:t xml:space="preserve">https://www.unodc.org/documents/middleeastandnorthafrica/organised-crime/Good_Practices_for_the_Protection_of_Witnesses_in_Criminal_Proceedings_Involving_Organized_Crime.pdf</w:t>
        </w:r>
      </w:hyperlink>
      <w:r w:rsidDel="00000000" w:rsidR="00000000" w:rsidRPr="00000000">
        <w:rPr>
          <w:rtl w:val="0"/>
        </w:rPr>
      </w:r>
    </w:p>
    <w:p w:rsidR="00000000" w:rsidDel="00000000" w:rsidP="00000000" w:rsidRDefault="00000000" w:rsidRPr="00000000" w14:paraId="0000007C">
      <w:pPr>
        <w:widowControl w:val="0"/>
        <w:numPr>
          <w:ilvl w:val="0"/>
          <w:numId w:val="3"/>
        </w:numPr>
        <w:spacing w:line="240" w:lineRule="auto"/>
        <w:ind w:left="600" w:hanging="360"/>
        <w:jc w:val="both"/>
      </w:pPr>
      <w:r w:rsidDel="00000000" w:rsidR="00000000" w:rsidRPr="00000000">
        <w:rPr>
          <w:sz w:val="24"/>
          <w:szCs w:val="24"/>
          <w:rtl w:val="0"/>
        </w:rPr>
        <w:t xml:space="preserve">The Federal Witness Protection Program Revisited and Compared ..., fecha de acceso: abril 9, 2026, </w:t>
      </w:r>
      <w:hyperlink r:id="rId15">
        <w:r w:rsidDel="00000000" w:rsidR="00000000" w:rsidRPr="00000000">
          <w:rPr>
            <w:color w:val="0000ee"/>
            <w:sz w:val="24"/>
            <w:szCs w:val="24"/>
            <w:u w:val="single"/>
            <w:rtl w:val="0"/>
          </w:rPr>
          <w:t xml:space="preserve">https://repository.law.miami.edu/context/umiclr/article/1259/viewcontent/UMICLR_20vol_2021_20no_202_20Mack.pdf</w:t>
        </w:r>
      </w:hyperlink>
      <w:r w:rsidDel="00000000" w:rsidR="00000000" w:rsidRPr="00000000">
        <w:rPr>
          <w:rtl w:val="0"/>
        </w:rPr>
      </w:r>
    </w:p>
    <w:p w:rsidR="00000000" w:rsidDel="00000000" w:rsidP="00000000" w:rsidRDefault="00000000" w:rsidRPr="00000000" w14:paraId="0000007D">
      <w:pPr>
        <w:widowControl w:val="0"/>
        <w:numPr>
          <w:ilvl w:val="0"/>
          <w:numId w:val="3"/>
        </w:numPr>
        <w:spacing w:line="240" w:lineRule="auto"/>
        <w:ind w:left="600" w:hanging="360"/>
        <w:jc w:val="both"/>
      </w:pPr>
      <w:r w:rsidDel="00000000" w:rsidR="00000000" w:rsidRPr="00000000">
        <w:rPr>
          <w:sz w:val="24"/>
          <w:szCs w:val="24"/>
          <w:rtl w:val="0"/>
        </w:rPr>
        <w:t xml:space="preserve">Major Ransomware Attack on U.S. Marshals Service Compromises Sensitive Information, fecha de acceso: abril 9, 2026, </w:t>
      </w:r>
      <w:hyperlink r:id="rId16">
        <w:r w:rsidDel="00000000" w:rsidR="00000000" w:rsidRPr="00000000">
          <w:rPr>
            <w:color w:val="0000ee"/>
            <w:sz w:val="24"/>
            <w:szCs w:val="24"/>
            <w:u w:val="single"/>
            <w:rtl w:val="0"/>
          </w:rPr>
          <w:t xml:space="preserve">https://heimdalsecurity.com/blog/major-ransomware-attack-on-u-s-marshals-service-compromises-sensitive-information/</w:t>
        </w:r>
      </w:hyperlink>
      <w:r w:rsidDel="00000000" w:rsidR="00000000" w:rsidRPr="00000000">
        <w:rPr>
          <w:rtl w:val="0"/>
        </w:rPr>
      </w:r>
    </w:p>
    <w:p w:rsidR="00000000" w:rsidDel="00000000" w:rsidP="00000000" w:rsidRDefault="00000000" w:rsidRPr="00000000" w14:paraId="0000007E">
      <w:pPr>
        <w:widowControl w:val="0"/>
        <w:numPr>
          <w:ilvl w:val="0"/>
          <w:numId w:val="3"/>
        </w:numPr>
        <w:spacing w:line="240" w:lineRule="auto"/>
        <w:ind w:left="600" w:hanging="360"/>
        <w:jc w:val="both"/>
      </w:pPr>
      <w:r w:rsidDel="00000000" w:rsidR="00000000" w:rsidRPr="00000000">
        <w:rPr>
          <w:sz w:val="24"/>
          <w:szCs w:val="24"/>
          <w:rtl w:val="0"/>
        </w:rPr>
        <w:t xml:space="preserve">CRIMINAL NETWORKS THE EU'S MOST THREATENING DECODING - Europol, fecha de acceso: abril 9, 2026, </w:t>
      </w:r>
      <w:hyperlink r:id="rId17">
        <w:r w:rsidDel="00000000" w:rsidR="00000000" w:rsidRPr="00000000">
          <w:rPr>
            <w:color w:val="0000ee"/>
            <w:sz w:val="24"/>
            <w:szCs w:val="24"/>
            <w:u w:val="single"/>
            <w:rtl w:val="0"/>
          </w:rPr>
          <w:t xml:space="preserve">https://www.europol.europa.eu/cms/sites/default/files/documents/Europol%20report%20on%20Decoding%20the%20EU-s%20most%20threatening%20criminal%20networks.pdf</w:t>
        </w:r>
      </w:hyperlink>
      <w:r w:rsidDel="00000000" w:rsidR="00000000" w:rsidRPr="00000000">
        <w:rPr>
          <w:rtl w:val="0"/>
        </w:rPr>
      </w:r>
    </w:p>
    <w:p w:rsidR="00000000" w:rsidDel="00000000" w:rsidP="00000000" w:rsidRDefault="00000000" w:rsidRPr="00000000" w14:paraId="0000007F">
      <w:pPr>
        <w:widowControl w:val="0"/>
        <w:numPr>
          <w:ilvl w:val="0"/>
          <w:numId w:val="3"/>
        </w:numPr>
        <w:spacing w:line="240" w:lineRule="auto"/>
        <w:ind w:left="600" w:hanging="360"/>
        <w:jc w:val="both"/>
      </w:pPr>
      <w:r w:rsidDel="00000000" w:rsidR="00000000" w:rsidRPr="00000000">
        <w:rPr>
          <w:sz w:val="24"/>
          <w:szCs w:val="24"/>
          <w:rtl w:val="0"/>
        </w:rPr>
        <w:t xml:space="preserve">EUROPEAN COMMITTEE ON CRIME PROBLEMS (CDPC) - https: //rm. coe. int, fecha de acceso: abril 9, 2026, </w:t>
      </w:r>
      <w:hyperlink r:id="rId18">
        <w:r w:rsidDel="00000000" w:rsidR="00000000" w:rsidRPr="00000000">
          <w:rPr>
            <w:color w:val="0000ee"/>
            <w:sz w:val="24"/>
            <w:szCs w:val="24"/>
            <w:u w:val="single"/>
            <w:rtl w:val="0"/>
          </w:rPr>
          <w:t xml:space="preserve">https://rm.coe.int/assessment-of-the-answers-to-the-questionnaire-review-of-the-recommend/1680764f16</w:t>
        </w:r>
      </w:hyperlink>
      <w:r w:rsidDel="00000000" w:rsidR="00000000" w:rsidRPr="00000000">
        <w:rPr>
          <w:rtl w:val="0"/>
        </w:rPr>
      </w:r>
    </w:p>
    <w:p w:rsidR="00000000" w:rsidDel="00000000" w:rsidP="00000000" w:rsidRDefault="00000000" w:rsidRPr="00000000" w14:paraId="00000080">
      <w:pPr>
        <w:widowControl w:val="0"/>
        <w:numPr>
          <w:ilvl w:val="0"/>
          <w:numId w:val="3"/>
        </w:numPr>
        <w:spacing w:line="240" w:lineRule="auto"/>
        <w:ind w:left="600" w:hanging="360"/>
        <w:jc w:val="both"/>
      </w:pPr>
      <w:r w:rsidDel="00000000" w:rsidR="00000000" w:rsidRPr="00000000">
        <w:rPr>
          <w:sz w:val="24"/>
          <w:szCs w:val="24"/>
          <w:rtl w:val="0"/>
        </w:rPr>
        <w:t xml:space="preserve">Generative Artificial Intelligence Increases Synthetic Identity Fraud ..., fecha de acceso: abril 9, 2026, </w:t>
      </w:r>
      <w:hyperlink r:id="rId19">
        <w:r w:rsidDel="00000000" w:rsidR="00000000" w:rsidRPr="00000000">
          <w:rPr>
            <w:color w:val="0000ee"/>
            <w:sz w:val="24"/>
            <w:szCs w:val="24"/>
            <w:u w:val="single"/>
            <w:rtl w:val="0"/>
          </w:rPr>
          <w:t xml:space="preserve">https://fedpaymentsimprovement.org/wp-content/uploads/sif-toolkit-genai.pdf</w:t>
        </w:r>
      </w:hyperlink>
      <w:r w:rsidDel="00000000" w:rsidR="00000000" w:rsidRPr="00000000">
        <w:rPr>
          <w:rtl w:val="0"/>
        </w:rPr>
      </w:r>
    </w:p>
    <w:p w:rsidR="00000000" w:rsidDel="00000000" w:rsidP="00000000" w:rsidRDefault="00000000" w:rsidRPr="00000000" w14:paraId="00000081">
      <w:pPr>
        <w:widowControl w:val="0"/>
        <w:numPr>
          <w:ilvl w:val="0"/>
          <w:numId w:val="3"/>
        </w:numPr>
        <w:spacing w:line="240" w:lineRule="auto"/>
        <w:ind w:left="600" w:hanging="360"/>
        <w:jc w:val="both"/>
      </w:pPr>
      <w:r w:rsidDel="00000000" w:rsidR="00000000" w:rsidRPr="00000000">
        <w:rPr>
          <w:sz w:val="24"/>
          <w:szCs w:val="24"/>
          <w:rtl w:val="0"/>
        </w:rPr>
        <w:t xml:space="preserve">What is Synthetic Identity Fraud? | CrowdStrike, fecha de acceso: abril 9, 2026, </w:t>
      </w:r>
      <w:hyperlink r:id="rId20">
        <w:r w:rsidDel="00000000" w:rsidR="00000000" w:rsidRPr="00000000">
          <w:rPr>
            <w:color w:val="0000ee"/>
            <w:sz w:val="24"/>
            <w:szCs w:val="24"/>
            <w:u w:val="single"/>
            <w:rtl w:val="0"/>
          </w:rPr>
          <w:t xml:space="preserve">https://www.crowdstrike.com/en-us/cybersecurity-101/identity-protection/synthetic-identity-fraud/</w:t>
        </w:r>
      </w:hyperlink>
      <w:r w:rsidDel="00000000" w:rsidR="00000000" w:rsidRPr="00000000">
        <w:rPr>
          <w:rtl w:val="0"/>
        </w:rPr>
      </w:r>
    </w:p>
    <w:p w:rsidR="00000000" w:rsidDel="00000000" w:rsidP="00000000" w:rsidRDefault="00000000" w:rsidRPr="00000000" w14:paraId="00000082">
      <w:pPr>
        <w:widowControl w:val="0"/>
        <w:numPr>
          <w:ilvl w:val="0"/>
          <w:numId w:val="3"/>
        </w:numPr>
        <w:spacing w:line="240" w:lineRule="auto"/>
        <w:ind w:left="600" w:hanging="360"/>
        <w:jc w:val="both"/>
      </w:pPr>
      <w:r w:rsidDel="00000000" w:rsidR="00000000" w:rsidRPr="00000000">
        <w:rPr>
          <w:sz w:val="24"/>
          <w:szCs w:val="24"/>
          <w:rtl w:val="0"/>
        </w:rPr>
        <w:t xml:space="preserve">2026 Global Threat Report | Latest Cybersecurity Trends &amp; Insights | CrowdStrike, fecha de acceso: abril 9, 2026, </w:t>
      </w:r>
      <w:hyperlink r:id="rId21">
        <w:r w:rsidDel="00000000" w:rsidR="00000000" w:rsidRPr="00000000">
          <w:rPr>
            <w:color w:val="0000ee"/>
            <w:sz w:val="24"/>
            <w:szCs w:val="24"/>
            <w:u w:val="single"/>
            <w:rtl w:val="0"/>
          </w:rPr>
          <w:t xml:space="preserve">https://www.crowdstrike.com/en-us/global-threat-report/</w:t>
        </w:r>
      </w:hyperlink>
      <w:r w:rsidDel="00000000" w:rsidR="00000000" w:rsidRPr="00000000">
        <w:rPr>
          <w:rtl w:val="0"/>
        </w:rPr>
      </w:r>
    </w:p>
    <w:p w:rsidR="00000000" w:rsidDel="00000000" w:rsidP="00000000" w:rsidRDefault="00000000" w:rsidRPr="00000000" w14:paraId="00000083">
      <w:pPr>
        <w:widowControl w:val="0"/>
        <w:numPr>
          <w:ilvl w:val="0"/>
          <w:numId w:val="3"/>
        </w:numPr>
        <w:spacing w:line="240" w:lineRule="auto"/>
        <w:ind w:left="600" w:hanging="360"/>
        <w:jc w:val="both"/>
      </w:pPr>
      <w:r w:rsidDel="00000000" w:rsidR="00000000" w:rsidRPr="00000000">
        <w:rPr>
          <w:sz w:val="24"/>
          <w:szCs w:val="24"/>
          <w:rtl w:val="0"/>
        </w:rPr>
        <w:t xml:space="preserve">Open Source Intelligence Techniques (OSINT) for Fraud Prevention - SEON, fecha de acceso: abril 9, 2026, </w:t>
      </w:r>
      <w:hyperlink r:id="rId22">
        <w:r w:rsidDel="00000000" w:rsidR="00000000" w:rsidRPr="00000000">
          <w:rPr>
            <w:color w:val="0000ee"/>
            <w:sz w:val="24"/>
            <w:szCs w:val="24"/>
            <w:u w:val="single"/>
            <w:rtl w:val="0"/>
          </w:rPr>
          <w:t xml:space="preserve">https://seon.io/wp-content/uploads/2022/02/SEON_Guide_to_OSINT.pdf</w:t>
        </w:r>
      </w:hyperlink>
      <w:r w:rsidDel="00000000" w:rsidR="00000000" w:rsidRPr="00000000">
        <w:rPr>
          <w:rtl w:val="0"/>
        </w:rPr>
      </w:r>
    </w:p>
    <w:p w:rsidR="00000000" w:rsidDel="00000000" w:rsidP="00000000" w:rsidRDefault="00000000" w:rsidRPr="00000000" w14:paraId="00000084">
      <w:pPr>
        <w:widowControl w:val="0"/>
        <w:numPr>
          <w:ilvl w:val="0"/>
          <w:numId w:val="3"/>
        </w:numPr>
        <w:spacing w:line="240" w:lineRule="auto"/>
        <w:ind w:left="600" w:hanging="360"/>
        <w:jc w:val="both"/>
      </w:pPr>
      <w:r w:rsidDel="00000000" w:rsidR="00000000" w:rsidRPr="00000000">
        <w:rPr>
          <w:sz w:val="24"/>
          <w:szCs w:val="24"/>
          <w:rtl w:val="0"/>
        </w:rPr>
        <w:t xml:space="preserve">Michael Bazzell - Extreme Privacy - Personal Data Removal Workbook Version 4.0-Independently Published (2022) - Scribd, fecha de acceso: abril 9, 2026, </w:t>
      </w:r>
      <w:hyperlink r:id="rId23">
        <w:r w:rsidDel="00000000" w:rsidR="00000000" w:rsidRPr="00000000">
          <w:rPr>
            <w:color w:val="0000ee"/>
            <w:sz w:val="24"/>
            <w:szCs w:val="24"/>
            <w:u w:val="single"/>
            <w:rtl w:val="0"/>
          </w:rPr>
          <w:t xml:space="preserve">https://www.scribd.com/document/781541066/Michael-Bazzell-Extreme-Privacy-Personal-Data-Removal-Workbook-Version-4-0-Independently-Published-2022</w:t>
        </w:r>
      </w:hyperlink>
      <w:r w:rsidDel="00000000" w:rsidR="00000000" w:rsidRPr="00000000">
        <w:rPr>
          <w:rtl w:val="0"/>
        </w:rPr>
      </w:r>
    </w:p>
    <w:p w:rsidR="00000000" w:rsidDel="00000000" w:rsidP="00000000" w:rsidRDefault="00000000" w:rsidRPr="00000000" w14:paraId="00000085">
      <w:pPr>
        <w:widowControl w:val="0"/>
        <w:numPr>
          <w:ilvl w:val="0"/>
          <w:numId w:val="3"/>
        </w:numPr>
        <w:spacing w:line="240" w:lineRule="auto"/>
        <w:ind w:left="600" w:hanging="360"/>
        <w:jc w:val="both"/>
      </w:pPr>
      <w:r w:rsidDel="00000000" w:rsidR="00000000" w:rsidRPr="00000000">
        <w:rPr>
          <w:sz w:val="24"/>
          <w:szCs w:val="24"/>
          <w:rtl w:val="0"/>
        </w:rPr>
        <w:t xml:space="preserve">How do you wipe your digital footprints? : r/digitalminimalism - Reddit, fecha de acceso: abril 9, 2026, </w:t>
      </w:r>
      <w:hyperlink r:id="rId24">
        <w:r w:rsidDel="00000000" w:rsidR="00000000" w:rsidRPr="00000000">
          <w:rPr>
            <w:color w:val="0000ee"/>
            <w:sz w:val="24"/>
            <w:szCs w:val="24"/>
            <w:u w:val="single"/>
            <w:rtl w:val="0"/>
          </w:rPr>
          <w:t xml:space="preserve">https://www.reddit.com/r/digitalminimalism/comments/1palaw8/how_do_you_wipe_your_digital_footprints/</w:t>
        </w:r>
      </w:hyperlink>
      <w:r w:rsidDel="00000000" w:rsidR="00000000" w:rsidRPr="00000000">
        <w:rPr>
          <w:rtl w:val="0"/>
        </w:rPr>
      </w:r>
    </w:p>
    <w:p w:rsidR="00000000" w:rsidDel="00000000" w:rsidP="00000000" w:rsidRDefault="00000000" w:rsidRPr="00000000" w14:paraId="00000086">
      <w:pPr>
        <w:widowControl w:val="0"/>
        <w:numPr>
          <w:ilvl w:val="0"/>
          <w:numId w:val="3"/>
        </w:numPr>
        <w:spacing w:line="240" w:lineRule="auto"/>
        <w:ind w:left="600" w:hanging="360"/>
        <w:jc w:val="both"/>
      </w:pPr>
      <w:r w:rsidDel="00000000" w:rsidR="00000000" w:rsidRPr="00000000">
        <w:rPr>
          <w:sz w:val="24"/>
          <w:szCs w:val="24"/>
          <w:rtl w:val="0"/>
        </w:rPr>
        <w:t xml:space="preserve">Extreme Privacy Chapter Summary | Michael Bazzell - Bookey, fecha de acceso: abril 9, 2026, </w:t>
      </w:r>
      <w:hyperlink r:id="rId25">
        <w:r w:rsidDel="00000000" w:rsidR="00000000" w:rsidRPr="00000000">
          <w:rPr>
            <w:color w:val="0000ee"/>
            <w:sz w:val="24"/>
            <w:szCs w:val="24"/>
            <w:u w:val="single"/>
            <w:rtl w:val="0"/>
          </w:rPr>
          <w:t xml:space="preserve">https://www.bookey.app/book/extreme-privacy</w:t>
        </w:r>
      </w:hyperlink>
      <w:r w:rsidDel="00000000" w:rsidR="00000000" w:rsidRPr="00000000">
        <w:rPr>
          <w:rtl w:val="0"/>
        </w:rPr>
      </w:r>
    </w:p>
    <w:p w:rsidR="00000000" w:rsidDel="00000000" w:rsidP="00000000" w:rsidRDefault="00000000" w:rsidRPr="00000000" w14:paraId="00000087">
      <w:pPr>
        <w:widowControl w:val="0"/>
        <w:numPr>
          <w:ilvl w:val="0"/>
          <w:numId w:val="3"/>
        </w:numPr>
        <w:spacing w:line="240" w:lineRule="auto"/>
        <w:ind w:left="600" w:hanging="360"/>
        <w:jc w:val="both"/>
      </w:pPr>
      <w:r w:rsidDel="00000000" w:rsidR="00000000" w:rsidRPr="00000000">
        <w:rPr>
          <w:sz w:val="24"/>
          <w:szCs w:val="24"/>
          <w:rtl w:val="0"/>
        </w:rPr>
        <w:t xml:space="preserve">Adversarial Camouflage - arXiv, fecha de acceso: abril 9, 2026, </w:t>
      </w:r>
      <w:hyperlink r:id="rId26">
        <w:r w:rsidDel="00000000" w:rsidR="00000000" w:rsidRPr="00000000">
          <w:rPr>
            <w:color w:val="0000ee"/>
            <w:sz w:val="24"/>
            <w:szCs w:val="24"/>
            <w:u w:val="single"/>
            <w:rtl w:val="0"/>
          </w:rPr>
          <w:t xml:space="preserve">https://arxiv.org/html/2603.21867v1</w:t>
        </w:r>
      </w:hyperlink>
      <w:r w:rsidDel="00000000" w:rsidR="00000000" w:rsidRPr="00000000">
        <w:rPr>
          <w:rtl w:val="0"/>
        </w:rPr>
      </w:r>
    </w:p>
    <w:p w:rsidR="00000000" w:rsidDel="00000000" w:rsidP="00000000" w:rsidRDefault="00000000" w:rsidRPr="00000000" w14:paraId="00000088">
      <w:pPr>
        <w:widowControl w:val="0"/>
        <w:numPr>
          <w:ilvl w:val="0"/>
          <w:numId w:val="3"/>
        </w:numPr>
        <w:spacing w:line="240" w:lineRule="auto"/>
        <w:ind w:left="600" w:hanging="360"/>
        <w:jc w:val="both"/>
      </w:pPr>
      <w:r w:rsidDel="00000000" w:rsidR="00000000" w:rsidRPr="00000000">
        <w:rPr>
          <w:sz w:val="24"/>
          <w:szCs w:val="24"/>
          <w:rtl w:val="0"/>
        </w:rPr>
        <w:t xml:space="preserve">A Survey on Physical Adversarial Attacks against Face Recognition Systems - arXiv, fecha de acceso: abril 9, 2026, </w:t>
      </w:r>
      <w:hyperlink r:id="rId27">
        <w:r w:rsidDel="00000000" w:rsidR="00000000" w:rsidRPr="00000000">
          <w:rPr>
            <w:color w:val="0000ee"/>
            <w:sz w:val="24"/>
            <w:szCs w:val="24"/>
            <w:u w:val="single"/>
            <w:rtl w:val="0"/>
          </w:rPr>
          <w:t xml:space="preserve">https://arxiv.org/html/2410.16317v1</w:t>
        </w:r>
      </w:hyperlink>
      <w:r w:rsidDel="00000000" w:rsidR="00000000" w:rsidRPr="00000000">
        <w:rPr>
          <w:rtl w:val="0"/>
        </w:rPr>
      </w:r>
    </w:p>
    <w:p w:rsidR="00000000" w:rsidDel="00000000" w:rsidP="00000000" w:rsidRDefault="00000000" w:rsidRPr="00000000" w14:paraId="00000089">
      <w:pPr>
        <w:widowControl w:val="0"/>
        <w:numPr>
          <w:ilvl w:val="0"/>
          <w:numId w:val="3"/>
        </w:numPr>
        <w:spacing w:line="240" w:lineRule="auto"/>
        <w:ind w:left="600" w:hanging="360"/>
        <w:jc w:val="both"/>
      </w:pPr>
      <w:r w:rsidDel="00000000" w:rsidR="00000000" w:rsidRPr="00000000">
        <w:rPr>
          <w:sz w:val="24"/>
          <w:szCs w:val="24"/>
          <w:rtl w:val="0"/>
        </w:rPr>
        <w:t xml:space="preserve">Visual Prompt Engineering for Enhancing Facial Recognition Systems Robustness Against Evasion Attacks - IEEE Xplore, fecha de acceso: abril 9, 2026, </w:t>
      </w:r>
      <w:hyperlink r:id="rId28">
        <w:r w:rsidDel="00000000" w:rsidR="00000000" w:rsidRPr="00000000">
          <w:rPr>
            <w:color w:val="0000ee"/>
            <w:sz w:val="24"/>
            <w:szCs w:val="24"/>
            <w:u w:val="single"/>
            <w:rtl w:val="0"/>
          </w:rPr>
          <w:t xml:space="preserve">https://ieeexplore.ieee.org/iel8/6287639/10380310/10716379.pdf</w:t>
        </w:r>
      </w:hyperlink>
      <w:r w:rsidDel="00000000" w:rsidR="00000000" w:rsidRPr="00000000">
        <w:rPr>
          <w:rtl w:val="0"/>
        </w:rPr>
      </w:r>
    </w:p>
    <w:p w:rsidR="00000000" w:rsidDel="00000000" w:rsidP="00000000" w:rsidRDefault="00000000" w:rsidRPr="00000000" w14:paraId="0000008A">
      <w:pPr>
        <w:widowControl w:val="0"/>
        <w:numPr>
          <w:ilvl w:val="0"/>
          <w:numId w:val="3"/>
        </w:numPr>
        <w:spacing w:line="240" w:lineRule="auto"/>
        <w:ind w:left="600" w:hanging="360"/>
        <w:jc w:val="both"/>
      </w:pPr>
      <w:r w:rsidDel="00000000" w:rsidR="00000000" w:rsidRPr="00000000">
        <w:rPr>
          <w:sz w:val="24"/>
          <w:szCs w:val="24"/>
          <w:rtl w:val="0"/>
        </w:rPr>
        <w:t xml:space="preserve">ProjAttacker: A Configurable Physical ... - CVF Open Access, fecha de acceso: abril 9, 2026, </w:t>
      </w:r>
      <w:hyperlink r:id="rId29">
        <w:r w:rsidDel="00000000" w:rsidR="00000000" w:rsidRPr="00000000">
          <w:rPr>
            <w:color w:val="0000ee"/>
            <w:sz w:val="24"/>
            <w:szCs w:val="24"/>
            <w:u w:val="single"/>
            <w:rtl w:val="0"/>
          </w:rPr>
          <w:t xml:space="preserve">https://openaccess.thecvf.com/content/CVPR2025/papers/Liu_ProjAttacker_A_Configurable_Physical_Adversarial_Attack_for_Face_Recognition_via_CVPR_2025_paper.pdf</w:t>
        </w:r>
      </w:hyperlink>
      <w:r w:rsidDel="00000000" w:rsidR="00000000" w:rsidRPr="00000000">
        <w:rPr>
          <w:rtl w:val="0"/>
        </w:rPr>
      </w:r>
    </w:p>
    <w:p w:rsidR="00000000" w:rsidDel="00000000" w:rsidP="00000000" w:rsidRDefault="00000000" w:rsidRPr="00000000" w14:paraId="0000008B">
      <w:pPr>
        <w:widowControl w:val="0"/>
        <w:numPr>
          <w:ilvl w:val="0"/>
          <w:numId w:val="3"/>
        </w:numPr>
        <w:spacing w:line="240" w:lineRule="auto"/>
        <w:ind w:left="600" w:hanging="360"/>
        <w:jc w:val="both"/>
      </w:pPr>
      <w:r w:rsidDel="00000000" w:rsidR="00000000" w:rsidRPr="00000000">
        <w:rPr>
          <w:sz w:val="24"/>
          <w:szCs w:val="24"/>
          <w:rtl w:val="0"/>
        </w:rPr>
        <w:t xml:space="preserve">nym-whitepaper.pdf - Nym Technologies, fecha de acceso: abril 9, 2026, </w:t>
      </w:r>
      <w:hyperlink r:id="rId30">
        <w:r w:rsidDel="00000000" w:rsidR="00000000" w:rsidRPr="00000000">
          <w:rPr>
            <w:color w:val="0000ee"/>
            <w:sz w:val="24"/>
            <w:szCs w:val="24"/>
            <w:u w:val="single"/>
            <w:rtl w:val="0"/>
          </w:rPr>
          <w:t xml:space="preserve">https://nym.com/nym-whitepaper.pdf</w:t>
        </w:r>
      </w:hyperlink>
      <w:r w:rsidDel="00000000" w:rsidR="00000000" w:rsidRPr="00000000">
        <w:rPr>
          <w:rtl w:val="0"/>
        </w:rPr>
      </w:r>
    </w:p>
    <w:p w:rsidR="00000000" w:rsidDel="00000000" w:rsidP="00000000" w:rsidRDefault="00000000" w:rsidRPr="00000000" w14:paraId="0000008C">
      <w:pPr>
        <w:widowControl w:val="0"/>
        <w:numPr>
          <w:ilvl w:val="0"/>
          <w:numId w:val="3"/>
        </w:numPr>
        <w:spacing w:line="240" w:lineRule="auto"/>
        <w:ind w:left="600" w:hanging="360"/>
        <w:jc w:val="both"/>
      </w:pPr>
      <w:r w:rsidDel="00000000" w:rsidR="00000000" w:rsidRPr="00000000">
        <w:rPr>
          <w:sz w:val="24"/>
          <w:szCs w:val="24"/>
          <w:rtl w:val="0"/>
        </w:rPr>
        <w:t xml:space="preserve">Latin America and the Caribbean Cybercrime Landscape - Recorded Future, fecha de acceso: abril 9, 2026, </w:t>
      </w:r>
      <w:hyperlink r:id="rId31">
        <w:r w:rsidDel="00000000" w:rsidR="00000000" w:rsidRPr="00000000">
          <w:rPr>
            <w:color w:val="0000ee"/>
            <w:sz w:val="24"/>
            <w:szCs w:val="24"/>
            <w:u w:val="single"/>
            <w:rtl w:val="0"/>
          </w:rPr>
          <w:t xml:space="preserve">https://www.recordedfuture.com/research/latin-america-and-the-caribbean-cybercrime-landscape</w:t>
        </w:r>
      </w:hyperlink>
      <w:r w:rsidDel="00000000" w:rsidR="00000000" w:rsidRPr="00000000">
        <w:rPr>
          <w:rtl w:val="0"/>
        </w:rPr>
      </w:r>
    </w:p>
    <w:p w:rsidR="00000000" w:rsidDel="00000000" w:rsidP="00000000" w:rsidRDefault="00000000" w:rsidRPr="00000000" w14:paraId="0000008D">
      <w:pPr>
        <w:widowControl w:val="0"/>
        <w:numPr>
          <w:ilvl w:val="0"/>
          <w:numId w:val="3"/>
        </w:numPr>
        <w:spacing w:line="240" w:lineRule="auto"/>
        <w:ind w:left="600" w:hanging="360"/>
        <w:jc w:val="both"/>
      </w:pPr>
      <w:r w:rsidDel="00000000" w:rsidR="00000000" w:rsidRPr="00000000">
        <w:rPr>
          <w:sz w:val="24"/>
          <w:szCs w:val="24"/>
          <w:rtl w:val="0"/>
        </w:rPr>
        <w:t xml:space="preserve">FTC Identity Theft: Planning for the Future Conference transcript segment 1, fecha de acceso: abril 9, 2026, </w:t>
      </w:r>
      <w:hyperlink r:id="rId32">
        <w:r w:rsidDel="00000000" w:rsidR="00000000" w:rsidRPr="00000000">
          <w:rPr>
            <w:color w:val="0000ee"/>
            <w:sz w:val="24"/>
            <w:szCs w:val="24"/>
            <w:u w:val="single"/>
            <w:rtl w:val="0"/>
          </w:rPr>
          <w:t xml:space="preserve">https://www.ftc.gov/system/files/documents/videos/identity-theft-planning-future-part-1/ftc_identity_theft_planning_for_the_future_transcript_segment_1.pdf</w:t>
        </w:r>
      </w:hyperlink>
      <w:r w:rsidDel="00000000" w:rsidR="00000000" w:rsidRPr="00000000">
        <w:rPr>
          <w:rtl w:val="0"/>
        </w:rPr>
      </w:r>
    </w:p>
    <w:p w:rsidR="00000000" w:rsidDel="00000000" w:rsidP="00000000" w:rsidRDefault="00000000" w:rsidRPr="00000000" w14:paraId="0000008E">
      <w:pPr>
        <w:widowControl w:val="0"/>
        <w:numPr>
          <w:ilvl w:val="0"/>
          <w:numId w:val="3"/>
        </w:numPr>
        <w:spacing w:line="240" w:lineRule="auto"/>
        <w:ind w:left="600" w:hanging="360"/>
        <w:jc w:val="both"/>
      </w:pPr>
      <w:r w:rsidDel="00000000" w:rsidR="00000000" w:rsidRPr="00000000">
        <w:rPr>
          <w:sz w:val="24"/>
          <w:szCs w:val="24"/>
          <w:rtl w:val="0"/>
        </w:rPr>
        <w:t xml:space="preserve">The birth certificate is the most dangerous document in your identity system., fecha de acceso: abril 9, 2026, </w:t>
      </w:r>
      <w:hyperlink r:id="rId33">
        <w:r w:rsidDel="00000000" w:rsidR="00000000" w:rsidRPr="00000000">
          <w:rPr>
            <w:color w:val="0000ee"/>
            <w:sz w:val="24"/>
            <w:szCs w:val="24"/>
            <w:u w:val="single"/>
            <w:rtl w:val="0"/>
          </w:rPr>
          <w:t xml:space="preserve">https://www.secoia-excon.com/post/the-birth-certificate-is-the-most-dangerous-document-in-your-identity-system</w:t>
        </w:r>
      </w:hyperlink>
      <w:r w:rsidDel="00000000" w:rsidR="00000000" w:rsidRPr="00000000">
        <w:rPr>
          <w:rtl w:val="0"/>
        </w:rPr>
      </w:r>
    </w:p>
    <w:p w:rsidR="00000000" w:rsidDel="00000000" w:rsidP="00000000" w:rsidRDefault="00000000" w:rsidRPr="00000000" w14:paraId="0000008F">
      <w:pPr>
        <w:widowControl w:val="0"/>
        <w:numPr>
          <w:ilvl w:val="0"/>
          <w:numId w:val="3"/>
        </w:numPr>
        <w:spacing w:line="240" w:lineRule="auto"/>
        <w:ind w:left="600" w:hanging="360"/>
        <w:jc w:val="both"/>
      </w:pPr>
      <w:r w:rsidDel="00000000" w:rsidR="00000000" w:rsidRPr="00000000">
        <w:rPr>
          <w:sz w:val="24"/>
          <w:szCs w:val="24"/>
          <w:rtl w:val="0"/>
        </w:rPr>
        <w:t xml:space="preserve">John Krebs - Federal Trade Commission, fecha de acceso: abril 9, 2026, </w:t>
      </w:r>
      <w:hyperlink r:id="rId34">
        <w:r w:rsidDel="00000000" w:rsidR="00000000" w:rsidRPr="00000000">
          <w:rPr>
            <w:color w:val="0000ee"/>
            <w:sz w:val="24"/>
            <w:szCs w:val="24"/>
            <w:u w:val="single"/>
            <w:rtl w:val="0"/>
          </w:rPr>
          <w:t xml:space="preserve">https://www.ftc.gov/system/files/documents/public_events/987523/identitytheftconference-slides.pdf</w:t>
        </w:r>
      </w:hyperlink>
      <w:r w:rsidDel="00000000" w:rsidR="00000000" w:rsidRPr="00000000">
        <w:rPr>
          <w:rtl w:val="0"/>
        </w:rPr>
      </w:r>
    </w:p>
    <w:p w:rsidR="00000000" w:rsidDel="00000000" w:rsidP="00000000" w:rsidRDefault="00000000" w:rsidRPr="00000000" w14:paraId="00000090">
      <w:pPr>
        <w:widowControl w:val="0"/>
        <w:numPr>
          <w:ilvl w:val="0"/>
          <w:numId w:val="3"/>
        </w:numPr>
        <w:spacing w:line="240" w:lineRule="auto"/>
        <w:ind w:left="600" w:hanging="360"/>
        <w:jc w:val="both"/>
      </w:pPr>
      <w:r w:rsidDel="00000000" w:rsidR="00000000" w:rsidRPr="00000000">
        <w:rPr>
          <w:sz w:val="24"/>
          <w:szCs w:val="24"/>
          <w:rtl w:val="0"/>
        </w:rPr>
        <w:t xml:space="preserve">Building Scenarios for the Future of Digital Identification Systems in Latin America and the Caribbean - IADB Publications, fecha de acceso: abril 9, 2026, </w:t>
      </w:r>
      <w:hyperlink r:id="rId35">
        <w:r w:rsidDel="00000000" w:rsidR="00000000" w:rsidRPr="00000000">
          <w:rPr>
            <w:color w:val="0000ee"/>
            <w:sz w:val="24"/>
            <w:szCs w:val="24"/>
            <w:u w:val="single"/>
            <w:rtl w:val="0"/>
          </w:rPr>
          <w:t xml:space="preserve">https://publications.iadb.org/publications/english/document/Building-Scenarios-for-the-Future-of-Digital-Identification-Systems-in-Latin-America-and-the-Caribbean.pdf</w:t>
        </w:r>
      </w:hyperlink>
      <w:r w:rsidDel="00000000" w:rsidR="00000000" w:rsidRPr="00000000">
        <w:rPr>
          <w:rtl w:val="0"/>
        </w:rPr>
      </w:r>
    </w:p>
    <w:p w:rsidR="00000000" w:rsidDel="00000000" w:rsidP="00000000" w:rsidRDefault="00000000" w:rsidRPr="00000000" w14:paraId="00000091">
      <w:pPr>
        <w:widowControl w:val="0"/>
        <w:numPr>
          <w:ilvl w:val="0"/>
          <w:numId w:val="3"/>
        </w:numPr>
        <w:spacing w:line="240" w:lineRule="auto"/>
        <w:ind w:left="600" w:hanging="360"/>
        <w:jc w:val="both"/>
      </w:pPr>
      <w:r w:rsidDel="00000000" w:rsidR="00000000" w:rsidRPr="00000000">
        <w:rPr>
          <w:sz w:val="24"/>
          <w:szCs w:val="24"/>
          <w:rtl w:val="0"/>
        </w:rPr>
        <w:t xml:space="preserve">Navigating the Risks and Rewards of Digital ID Systems | Open Government Partnership, fecha de acceso: abril 9, 2026, </w:t>
      </w:r>
      <w:hyperlink r:id="rId36">
        <w:r w:rsidDel="00000000" w:rsidR="00000000" w:rsidRPr="00000000">
          <w:rPr>
            <w:color w:val="0000ee"/>
            <w:sz w:val="24"/>
            <w:szCs w:val="24"/>
            <w:u w:val="single"/>
            <w:rtl w:val="0"/>
          </w:rPr>
          <w:t xml:space="preserve">https://www.opengovpartnership.org/stories/navigating-the-risks-and-rewards-of-digital-id-systems/</w:t>
        </w:r>
      </w:hyperlink>
      <w:r w:rsidDel="00000000" w:rsidR="00000000" w:rsidRPr="00000000">
        <w:rPr>
          <w:rtl w:val="0"/>
        </w:rPr>
      </w:r>
    </w:p>
    <w:p w:rsidR="00000000" w:rsidDel="00000000" w:rsidP="00000000" w:rsidRDefault="00000000" w:rsidRPr="00000000" w14:paraId="00000092">
      <w:pPr>
        <w:widowControl w:val="0"/>
        <w:numPr>
          <w:ilvl w:val="0"/>
          <w:numId w:val="3"/>
        </w:numPr>
        <w:spacing w:line="240" w:lineRule="auto"/>
        <w:ind w:left="600" w:hanging="360"/>
        <w:jc w:val="both"/>
      </w:pPr>
      <w:r w:rsidDel="00000000" w:rsidR="00000000" w:rsidRPr="00000000">
        <w:rPr>
          <w:sz w:val="24"/>
          <w:szCs w:val="24"/>
          <w:rtl w:val="0"/>
        </w:rPr>
        <w:t xml:space="preserve">Access to and use of civil registration by migrants and refugees in Latin America and the Caribbean | UNICEF, fecha de acceso: abril 9, 2026, </w:t>
      </w:r>
      <w:hyperlink r:id="rId37">
        <w:r w:rsidDel="00000000" w:rsidR="00000000" w:rsidRPr="00000000">
          <w:rPr>
            <w:color w:val="0000ee"/>
            <w:sz w:val="24"/>
            <w:szCs w:val="24"/>
            <w:u w:val="single"/>
            <w:rtl w:val="0"/>
          </w:rPr>
          <w:t xml:space="preserve">https://www.unicef.org/lac/en/reports/access-and-use-civil-registration-migrants-refugees-latin-america-caribbean</w:t>
        </w:r>
      </w:hyperlink>
      <w:r w:rsidDel="00000000" w:rsidR="00000000" w:rsidRPr="00000000">
        <w:rPr>
          <w:rtl w:val="0"/>
        </w:rPr>
      </w:r>
    </w:p>
    <w:p w:rsidR="00000000" w:rsidDel="00000000" w:rsidP="00000000" w:rsidRDefault="00000000" w:rsidRPr="00000000" w14:paraId="00000093">
      <w:pPr>
        <w:widowControl w:val="0"/>
        <w:numPr>
          <w:ilvl w:val="0"/>
          <w:numId w:val="3"/>
        </w:numPr>
        <w:spacing w:line="240" w:lineRule="auto"/>
        <w:ind w:left="600" w:hanging="360"/>
        <w:jc w:val="both"/>
      </w:pPr>
      <w:r w:rsidDel="00000000" w:rsidR="00000000" w:rsidRPr="00000000">
        <w:rPr>
          <w:sz w:val="24"/>
          <w:szCs w:val="24"/>
          <w:rtl w:val="0"/>
        </w:rPr>
        <w:t xml:space="preserve">Strengthening CRVS Systems to Improve Migration Policy - Open Data Watch, fecha de acceso: abril 9, 2026, </w:t>
      </w:r>
      <w:hyperlink r:id="rId38">
        <w:r w:rsidDel="00000000" w:rsidR="00000000" w:rsidRPr="00000000">
          <w:rPr>
            <w:color w:val="0000ee"/>
            <w:sz w:val="24"/>
            <w:szCs w:val="24"/>
            <w:u w:val="single"/>
            <w:rtl w:val="0"/>
          </w:rPr>
          <w:t xml:space="preserve">https://opendatawatch.com/blog/strengthening-crvs-systems-to-improve-migration-policy/</w:t>
        </w:r>
      </w:hyperlink>
      <w:r w:rsidDel="00000000" w:rsidR="00000000" w:rsidRPr="00000000">
        <w:rPr>
          <w:rtl w:val="0"/>
        </w:rPr>
      </w:r>
    </w:p>
    <w:p w:rsidR="00000000" w:rsidDel="00000000" w:rsidP="00000000" w:rsidRDefault="00000000" w:rsidRPr="00000000" w14:paraId="00000094">
      <w:pPr>
        <w:widowControl w:val="0"/>
        <w:numPr>
          <w:ilvl w:val="0"/>
          <w:numId w:val="3"/>
        </w:numPr>
        <w:spacing w:line="240" w:lineRule="auto"/>
        <w:ind w:left="600" w:hanging="360"/>
        <w:jc w:val="both"/>
      </w:pPr>
      <w:r w:rsidDel="00000000" w:rsidR="00000000" w:rsidRPr="00000000">
        <w:rPr>
          <w:sz w:val="24"/>
          <w:szCs w:val="24"/>
          <w:rtl w:val="0"/>
        </w:rPr>
        <w:t xml:space="preserve">FRAUD WITH RESPECT TO CIVIL STATUS, fecha de acceso: abril 9, 2026, </w:t>
      </w:r>
      <w:hyperlink r:id="rId39">
        <w:r w:rsidDel="00000000" w:rsidR="00000000" w:rsidRPr="00000000">
          <w:rPr>
            <w:color w:val="0000ee"/>
            <w:sz w:val="24"/>
            <w:szCs w:val="24"/>
            <w:u w:val="single"/>
            <w:rtl w:val="0"/>
          </w:rPr>
          <w:t xml:space="preserve">https://ciec1.org/wp-content/uploads/2025/03/Rapport-Fraude-EN.pdf</w:t>
        </w:r>
      </w:hyperlink>
      <w:r w:rsidDel="00000000" w:rsidR="00000000" w:rsidRPr="00000000">
        <w:rPr>
          <w:rtl w:val="0"/>
        </w:rPr>
      </w:r>
    </w:p>
    <w:p w:rsidR="00000000" w:rsidDel="00000000" w:rsidP="00000000" w:rsidRDefault="00000000" w:rsidRPr="00000000" w14:paraId="00000095">
      <w:pPr>
        <w:widowControl w:val="0"/>
        <w:numPr>
          <w:ilvl w:val="0"/>
          <w:numId w:val="3"/>
        </w:numPr>
        <w:spacing w:line="240" w:lineRule="auto"/>
        <w:ind w:left="600" w:hanging="360"/>
        <w:jc w:val="both"/>
      </w:pPr>
      <w:r w:rsidDel="00000000" w:rsidR="00000000" w:rsidRPr="00000000">
        <w:rPr>
          <w:sz w:val="24"/>
          <w:szCs w:val="24"/>
          <w:rtl w:val="0"/>
        </w:rPr>
        <w:t xml:space="preserve">Dan Kennedy &amp; Dog Whistle Language in Copywriting &amp; Marketing - Short Business Book Publishing for Business Owners and Corporate Leaders - Mike Capuzzi, fecha de acceso: abril 9, 2026, </w:t>
      </w:r>
      <w:hyperlink r:id="rId40">
        <w:r w:rsidDel="00000000" w:rsidR="00000000" w:rsidRPr="00000000">
          <w:rPr>
            <w:color w:val="0000ee"/>
            <w:sz w:val="24"/>
            <w:szCs w:val="24"/>
            <w:u w:val="single"/>
            <w:rtl w:val="0"/>
          </w:rPr>
          <w:t xml:space="preserve">https://mikecapuzzi.com/dan-kennedy-dog-whistle/</w:t>
        </w:r>
      </w:hyperlink>
      <w:r w:rsidDel="00000000" w:rsidR="00000000" w:rsidRPr="00000000">
        <w:rPr>
          <w:rtl w:val="0"/>
        </w:rPr>
      </w:r>
    </w:p>
    <w:p w:rsidR="00000000" w:rsidDel="00000000" w:rsidP="00000000" w:rsidRDefault="00000000" w:rsidRPr="00000000" w14:paraId="00000096">
      <w:pPr>
        <w:widowControl w:val="0"/>
        <w:numPr>
          <w:ilvl w:val="0"/>
          <w:numId w:val="3"/>
        </w:numPr>
        <w:spacing w:line="240" w:lineRule="auto"/>
        <w:ind w:left="600" w:hanging="360"/>
        <w:jc w:val="both"/>
      </w:pPr>
      <w:r w:rsidDel="00000000" w:rsidR="00000000" w:rsidRPr="00000000">
        <w:rPr>
          <w:sz w:val="24"/>
          <w:szCs w:val="24"/>
          <w:rtl w:val="0"/>
        </w:rPr>
        <w:t xml:space="preserve">How To Find Paying Customers Using 'Dog Whistle Copy' | Marketing Consultant - Jed Wylie, fecha de acceso: abril 9, 2026, </w:t>
      </w:r>
      <w:hyperlink r:id="rId41">
        <w:r w:rsidDel="00000000" w:rsidR="00000000" w:rsidRPr="00000000">
          <w:rPr>
            <w:color w:val="0000ee"/>
            <w:sz w:val="24"/>
            <w:szCs w:val="24"/>
            <w:u w:val="single"/>
            <w:rtl w:val="0"/>
          </w:rPr>
          <w:t xml:space="preserve">https://www.jedwylie.com/post/how-to-find-paying-customers-using-dog-whistle-copy</w:t>
        </w:r>
      </w:hyperlink>
      <w:r w:rsidDel="00000000" w:rsidR="00000000" w:rsidRPr="00000000">
        <w:rPr>
          <w:rtl w:val="0"/>
        </w:rPr>
      </w:r>
    </w:p>
    <w:p w:rsidR="00000000" w:rsidDel="00000000" w:rsidP="00000000" w:rsidRDefault="00000000" w:rsidRPr="00000000" w14:paraId="00000097">
      <w:pPr>
        <w:widowControl w:val="0"/>
        <w:numPr>
          <w:ilvl w:val="0"/>
          <w:numId w:val="3"/>
        </w:numPr>
        <w:spacing w:line="240" w:lineRule="auto"/>
        <w:ind w:left="600" w:hanging="360"/>
        <w:jc w:val="both"/>
      </w:pPr>
      <w:r w:rsidDel="00000000" w:rsidR="00000000" w:rsidRPr="00000000">
        <w:rPr>
          <w:sz w:val="24"/>
          <w:szCs w:val="24"/>
          <w:rtl w:val="0"/>
        </w:rPr>
        <w:t xml:space="preserve">The Dog Whistle Branding Playbook: A Guide for Growth Stage Veteran-Owned Businesses To Engage Your Perfect Customer - "IRON" Mike Steadman, fecha de acceso: abril 9, 2026, </w:t>
      </w:r>
      <w:hyperlink r:id="rId42">
        <w:r w:rsidDel="00000000" w:rsidR="00000000" w:rsidRPr="00000000">
          <w:rPr>
            <w:color w:val="0000ee"/>
            <w:sz w:val="24"/>
            <w:szCs w:val="24"/>
            <w:u w:val="single"/>
            <w:rtl w:val="0"/>
          </w:rPr>
          <w:t xml:space="preserve">https://ironmikesteadman.medium.com/the-dog-whistle-branding-playbook-a-guide-for-growth-stage-veteran-owned-businesses-to-engage-your-a71a414f7ec0</w:t>
        </w:r>
      </w:hyperlink>
      <w:r w:rsidDel="00000000" w:rsidR="00000000" w:rsidRPr="00000000">
        <w:rPr>
          <w:rtl w:val="0"/>
        </w:rPr>
      </w:r>
    </w:p>
    <w:p w:rsidR="00000000" w:rsidDel="00000000" w:rsidP="00000000" w:rsidRDefault="00000000" w:rsidRPr="00000000" w14:paraId="00000098">
      <w:pPr>
        <w:widowControl w:val="0"/>
        <w:numPr>
          <w:ilvl w:val="0"/>
          <w:numId w:val="3"/>
        </w:numPr>
        <w:spacing w:line="240" w:lineRule="auto"/>
        <w:ind w:left="600" w:hanging="360"/>
        <w:jc w:val="both"/>
      </w:pPr>
      <w:r w:rsidDel="00000000" w:rsidR="00000000" w:rsidRPr="00000000">
        <w:rPr>
          <w:sz w:val="24"/>
          <w:szCs w:val="24"/>
          <w:rtl w:val="0"/>
        </w:rPr>
        <w:t xml:space="preserve">Dog Whistle Marketing: 7 EASY Steps to Attract Your Ideal Clients - YouTube, fecha de acceso: abril 9, 2026, </w:t>
      </w:r>
      <w:hyperlink r:id="rId43">
        <w:r w:rsidDel="00000000" w:rsidR="00000000" w:rsidRPr="00000000">
          <w:rPr>
            <w:color w:val="0000ee"/>
            <w:sz w:val="24"/>
            <w:szCs w:val="24"/>
            <w:u w:val="single"/>
            <w:rtl w:val="0"/>
          </w:rPr>
          <w:t xml:space="preserve">https://www.youtube.com/watch?v=79mEkpDwAGU</w:t>
        </w:r>
      </w:hyperlink>
      <w:r w:rsidDel="00000000" w:rsidR="00000000" w:rsidRPr="00000000">
        <w:rPr>
          <w:rtl w:val="0"/>
        </w:rPr>
      </w:r>
    </w:p>
    <w:p w:rsidR="00000000" w:rsidDel="00000000" w:rsidP="00000000" w:rsidRDefault="00000000" w:rsidRPr="00000000" w14:paraId="00000099">
      <w:pPr>
        <w:widowControl w:val="0"/>
        <w:numPr>
          <w:ilvl w:val="0"/>
          <w:numId w:val="3"/>
        </w:numPr>
        <w:spacing w:line="240" w:lineRule="auto"/>
        <w:ind w:left="600" w:hanging="360"/>
        <w:jc w:val="both"/>
      </w:pPr>
      <w:r w:rsidDel="00000000" w:rsidR="00000000" w:rsidRPr="00000000">
        <w:rPr>
          <w:sz w:val="24"/>
          <w:szCs w:val="24"/>
          <w:rtl w:val="0"/>
        </w:rPr>
        <w:t xml:space="preserve">Steganography: More than Meets the Eye | RECOIL OFFGRID, fecha de acceso: abril 9, 2026, </w:t>
      </w:r>
      <w:hyperlink r:id="rId44">
        <w:r w:rsidDel="00000000" w:rsidR="00000000" w:rsidRPr="00000000">
          <w:rPr>
            <w:color w:val="0000ee"/>
            <w:sz w:val="24"/>
            <w:szCs w:val="24"/>
            <w:u w:val="single"/>
            <w:rtl w:val="0"/>
          </w:rPr>
          <w:t xml:space="preserve">https://www.offgridweb.com/preparation/steganography-more-than-meets-the-eye/</w:t>
        </w:r>
      </w:hyperlink>
      <w:r w:rsidDel="00000000" w:rsidR="00000000" w:rsidRPr="00000000">
        <w:rPr>
          <w:rtl w:val="0"/>
        </w:rPr>
      </w:r>
    </w:p>
    <w:p w:rsidR="00000000" w:rsidDel="00000000" w:rsidP="00000000" w:rsidRDefault="00000000" w:rsidRPr="00000000" w14:paraId="0000009A">
      <w:pPr>
        <w:widowControl w:val="0"/>
        <w:numPr>
          <w:ilvl w:val="0"/>
          <w:numId w:val="3"/>
        </w:numPr>
        <w:spacing w:line="240" w:lineRule="auto"/>
        <w:ind w:left="600" w:hanging="360"/>
        <w:jc w:val="both"/>
      </w:pPr>
      <w:r w:rsidDel="00000000" w:rsidR="00000000" w:rsidRPr="00000000">
        <w:rPr>
          <w:sz w:val="24"/>
          <w:szCs w:val="24"/>
          <w:rtl w:val="0"/>
        </w:rPr>
        <w:t xml:space="preserve">Statement on the fatal flaws found in a defunct CIA covert communications system, fecha de acceso: abril 9, 2026, </w:t>
      </w:r>
      <w:hyperlink r:id="rId45">
        <w:r w:rsidDel="00000000" w:rsidR="00000000" w:rsidRPr="00000000">
          <w:rPr>
            <w:color w:val="0000ee"/>
            <w:sz w:val="24"/>
            <w:szCs w:val="24"/>
            <w:u w:val="single"/>
            <w:rtl w:val="0"/>
          </w:rPr>
          <w:t xml:space="preserve">https://citizenlab.ca/statement-on-the-fatal-flaws-found-in-a-defunct-cia-covert-communications-system/</w:t>
        </w:r>
      </w:hyperlink>
      <w:r w:rsidDel="00000000" w:rsidR="00000000" w:rsidRPr="00000000">
        <w:rPr>
          <w:rtl w:val="0"/>
        </w:rPr>
      </w:r>
    </w:p>
    <w:p w:rsidR="00000000" w:rsidDel="00000000" w:rsidP="00000000" w:rsidRDefault="00000000" w:rsidRPr="00000000" w14:paraId="0000009B">
      <w:pPr>
        <w:widowControl w:val="0"/>
        <w:numPr>
          <w:ilvl w:val="0"/>
          <w:numId w:val="3"/>
        </w:numPr>
        <w:spacing w:line="240" w:lineRule="auto"/>
        <w:ind w:left="600" w:hanging="360"/>
        <w:jc w:val="both"/>
      </w:pPr>
      <w:r w:rsidDel="00000000" w:rsidR="00000000" w:rsidRPr="00000000">
        <w:rPr>
          <w:sz w:val="24"/>
          <w:szCs w:val="24"/>
          <w:rtl w:val="0"/>
        </w:rPr>
        <w:t xml:space="preserve">Steganography in Cyber Espionage — Hidden Data in Multimedia Files as a Stealth Attack Vector | by RocketMe Up Cybersecurity | Medium, fecha de acceso: abril 9, 2026, </w:t>
      </w:r>
      <w:hyperlink r:id="rId46">
        <w:r w:rsidDel="00000000" w:rsidR="00000000" w:rsidRPr="00000000">
          <w:rPr>
            <w:color w:val="0000ee"/>
            <w:sz w:val="24"/>
            <w:szCs w:val="24"/>
            <w:u w:val="single"/>
            <w:rtl w:val="0"/>
          </w:rPr>
          <w:t xml:space="preserve">https://medium.com/@RocketMeUpCybersecurity/steganography-in-cyber-espionage-hidden-data-in-multimedia-files-as-a-stealth-attack-vector-0ac09cb9000d</w:t>
        </w:r>
      </w:hyperlink>
      <w:r w:rsidDel="00000000" w:rsidR="00000000" w:rsidRPr="00000000">
        <w:rPr>
          <w:rtl w:val="0"/>
        </w:rPr>
      </w:r>
    </w:p>
    <w:p w:rsidR="00000000" w:rsidDel="00000000" w:rsidP="00000000" w:rsidRDefault="00000000" w:rsidRPr="00000000" w14:paraId="0000009C">
      <w:pPr>
        <w:widowControl w:val="0"/>
        <w:numPr>
          <w:ilvl w:val="0"/>
          <w:numId w:val="3"/>
        </w:numPr>
        <w:spacing w:line="240" w:lineRule="auto"/>
        <w:ind w:left="600" w:hanging="360"/>
        <w:jc w:val="both"/>
      </w:pPr>
      <w:r w:rsidDel="00000000" w:rsidR="00000000" w:rsidRPr="00000000">
        <w:rPr>
          <w:sz w:val="24"/>
          <w:szCs w:val="24"/>
          <w:rtl w:val="0"/>
        </w:rPr>
        <w:t xml:space="preserve">Detecting covert communication channels in raster images - Edith Cowan University, fecha de acceso: abril 9, 2026, </w:t>
      </w:r>
      <w:hyperlink r:id="rId47">
        <w:r w:rsidDel="00000000" w:rsidR="00000000" w:rsidRPr="00000000">
          <w:rPr>
            <w:color w:val="0000ee"/>
            <w:sz w:val="24"/>
            <w:szCs w:val="24"/>
            <w:u w:val="single"/>
            <w:rtl w:val="0"/>
          </w:rPr>
          <w:t xml:space="preserve">https://ro.ecu.edu.au/isw/58/</w:t>
        </w:r>
      </w:hyperlink>
      <w:r w:rsidDel="00000000" w:rsidR="00000000" w:rsidRPr="00000000">
        <w:rPr>
          <w:rtl w:val="0"/>
        </w:rPr>
      </w:r>
    </w:p>
    <w:p w:rsidR="00000000" w:rsidDel="00000000" w:rsidP="00000000" w:rsidRDefault="00000000" w:rsidRPr="00000000" w14:paraId="0000009D">
      <w:pPr>
        <w:widowControl w:val="0"/>
        <w:numPr>
          <w:ilvl w:val="0"/>
          <w:numId w:val="3"/>
        </w:numPr>
        <w:spacing w:line="240" w:lineRule="auto"/>
        <w:ind w:left="600" w:hanging="360"/>
        <w:jc w:val="both"/>
      </w:pPr>
      <w:r w:rsidDel="00000000" w:rsidR="00000000" w:rsidRPr="00000000">
        <w:rPr>
          <w:sz w:val="24"/>
          <w:szCs w:val="24"/>
          <w:rtl w:val="0"/>
        </w:rPr>
        <w:t xml:space="preserve">Covert Communication Techniques Used By High Tech Terrorists - Security Affairs, fecha de acceso: abril 9, 2026, </w:t>
      </w:r>
      <w:hyperlink r:id="rId48">
        <w:r w:rsidDel="00000000" w:rsidR="00000000" w:rsidRPr="00000000">
          <w:rPr>
            <w:color w:val="0000ee"/>
            <w:sz w:val="24"/>
            <w:szCs w:val="24"/>
            <w:u w:val="single"/>
            <w:rtl w:val="0"/>
          </w:rPr>
          <w:t xml:space="preserve">https://securityaffairs.com/47243/terrorism/covert-communications-terrorists.html</w:t>
        </w:r>
      </w:hyperlink>
      <w:r w:rsidDel="00000000" w:rsidR="00000000" w:rsidRPr="00000000">
        <w:rPr>
          <w:rtl w:val="0"/>
        </w:rPr>
      </w:r>
    </w:p>
    <w:p w:rsidR="00000000" w:rsidDel="00000000" w:rsidP="00000000" w:rsidRDefault="00000000" w:rsidRPr="00000000" w14:paraId="0000009E">
      <w:pPr>
        <w:widowControl w:val="0"/>
        <w:numPr>
          <w:ilvl w:val="0"/>
          <w:numId w:val="3"/>
        </w:numPr>
        <w:spacing w:line="240" w:lineRule="auto"/>
        <w:ind w:left="600" w:hanging="360"/>
        <w:jc w:val="both"/>
      </w:pPr>
      <w:r w:rsidDel="00000000" w:rsidR="00000000" w:rsidRPr="00000000">
        <w:rPr>
          <w:sz w:val="24"/>
          <w:szCs w:val="24"/>
          <w:rtl w:val="0"/>
        </w:rPr>
        <w:t xml:space="preserve">Russian Disinformation Campaign “DoppelGänger” Unmasked: A Web of Deception, fecha de acceso: abril 9, 2026, </w:t>
      </w:r>
      <w:hyperlink r:id="rId49">
        <w:r w:rsidDel="00000000" w:rsidR="00000000" w:rsidRPr="00000000">
          <w:rPr>
            <w:color w:val="0000ee"/>
            <w:sz w:val="24"/>
            <w:szCs w:val="24"/>
            <w:u w:val="single"/>
            <w:rtl w:val="0"/>
          </w:rPr>
          <w:t xml:space="preserve">https://www.cybercom.mil/Media/News/Article/3895345/russian-disinformation-campaign-doppelgnger-unmasked-a-web-of-deception/</w:t>
        </w:r>
      </w:hyperlink>
      <w:r w:rsidDel="00000000" w:rsidR="00000000" w:rsidRPr="00000000">
        <w:rPr>
          <w:rtl w:val="0"/>
        </w:rPr>
      </w:r>
    </w:p>
    <w:p w:rsidR="00000000" w:rsidDel="00000000" w:rsidP="00000000" w:rsidRDefault="00000000" w:rsidRPr="00000000" w14:paraId="0000009F">
      <w:pPr>
        <w:widowControl w:val="0"/>
        <w:numPr>
          <w:ilvl w:val="0"/>
          <w:numId w:val="3"/>
        </w:numPr>
        <w:spacing w:line="240" w:lineRule="auto"/>
        <w:ind w:left="600" w:hanging="360"/>
        <w:jc w:val="both"/>
      </w:pPr>
      <w:r w:rsidDel="00000000" w:rsidR="00000000" w:rsidRPr="00000000">
        <w:rPr>
          <w:sz w:val="24"/>
          <w:szCs w:val="24"/>
          <w:rtl w:val="0"/>
        </w:rPr>
        <w:t xml:space="preserve">Justice Department Disrupts Covert Russian Government-Sponsored Foreign Malign Influence Operation Targeting Audiences in the United States and Elsewhere, fecha de acceso: abril 9, 2026, </w:t>
      </w:r>
      <w:hyperlink r:id="rId50">
        <w:r w:rsidDel="00000000" w:rsidR="00000000" w:rsidRPr="00000000">
          <w:rPr>
            <w:color w:val="0000ee"/>
            <w:sz w:val="24"/>
            <w:szCs w:val="24"/>
            <w:u w:val="single"/>
            <w:rtl w:val="0"/>
          </w:rPr>
          <w:t xml:space="preserve">https://www.justice.gov/archives/opa/pr/justice-department-disrupts-covert-russian-government-sponsored-foreign-malign-influence</w:t>
        </w:r>
      </w:hyperlink>
      <w:r w:rsidDel="00000000" w:rsidR="00000000" w:rsidRPr="00000000">
        <w:rPr>
          <w:rtl w:val="0"/>
        </w:rPr>
      </w:r>
    </w:p>
    <w:p w:rsidR="00000000" w:rsidDel="00000000" w:rsidP="00000000" w:rsidRDefault="00000000" w:rsidRPr="00000000" w14:paraId="000000A0">
      <w:pPr>
        <w:widowControl w:val="0"/>
        <w:numPr>
          <w:ilvl w:val="0"/>
          <w:numId w:val="3"/>
        </w:numPr>
        <w:spacing w:line="240" w:lineRule="auto"/>
        <w:ind w:left="600" w:hanging="360"/>
        <w:jc w:val="both"/>
      </w:pPr>
      <w:r w:rsidDel="00000000" w:rsidR="00000000" w:rsidRPr="00000000">
        <w:rPr>
          <w:sz w:val="24"/>
          <w:szCs w:val="24"/>
          <w:rtl w:val="0"/>
        </w:rPr>
        <w:t xml:space="preserve">Exploring the Information-Laundering Ecosystem: The Russian Case - CSIS, fecha de acceso: abril 9, 2026, </w:t>
      </w:r>
      <w:hyperlink r:id="rId51">
        <w:r w:rsidDel="00000000" w:rsidR="00000000" w:rsidRPr="00000000">
          <w:rPr>
            <w:color w:val="0000ee"/>
            <w:sz w:val="24"/>
            <w:szCs w:val="24"/>
            <w:u w:val="single"/>
            <w:rtl w:val="0"/>
          </w:rPr>
          <w:t xml:space="preserve">https://www.csis.org/analysis/exploring-information-laundering-ecosystem-russian-case</w:t>
        </w:r>
      </w:hyperlink>
      <w:r w:rsidDel="00000000" w:rsidR="00000000" w:rsidRPr="00000000">
        <w:rPr>
          <w:rtl w:val="0"/>
        </w:rPr>
      </w:r>
    </w:p>
    <w:p w:rsidR="00000000" w:rsidDel="00000000" w:rsidP="00000000" w:rsidRDefault="00000000" w:rsidRPr="00000000" w14:paraId="000000A1">
      <w:pPr>
        <w:widowControl w:val="0"/>
        <w:numPr>
          <w:ilvl w:val="0"/>
          <w:numId w:val="3"/>
        </w:numPr>
        <w:spacing w:line="240" w:lineRule="auto"/>
        <w:ind w:left="600" w:hanging="360"/>
        <w:jc w:val="both"/>
      </w:pPr>
      <w:r w:rsidDel="00000000" w:rsidR="00000000" w:rsidRPr="00000000">
        <w:rPr>
          <w:sz w:val="24"/>
          <w:szCs w:val="24"/>
          <w:rtl w:val="0"/>
        </w:rPr>
        <w:t xml:space="preserve">OFAC Sanctions Screening for Crypto and DeFi: A Developer's Guide - DEV Community, fecha de acceso: abril 9, 2026, </w:t>
      </w:r>
      <w:hyperlink r:id="rId52">
        <w:r w:rsidDel="00000000" w:rsidR="00000000" w:rsidRPr="00000000">
          <w:rPr>
            <w:color w:val="0000ee"/>
            <w:sz w:val="24"/>
            <w:szCs w:val="24"/>
            <w:u w:val="single"/>
            <w:rtl w:val="0"/>
          </w:rPr>
          <w:t xml:space="preserve">https://dev.to/easysolutions906/ofac-sanctions-screening-for-crypto-and-defi-a-developers-guide-3fj1</w:t>
        </w:r>
      </w:hyperlink>
      <w:r w:rsidDel="00000000" w:rsidR="00000000" w:rsidRPr="00000000">
        <w:rPr>
          <w:rtl w:val="0"/>
        </w:rPr>
      </w:r>
    </w:p>
    <w:p w:rsidR="00000000" w:rsidDel="00000000" w:rsidP="00000000" w:rsidRDefault="00000000" w:rsidRPr="00000000" w14:paraId="000000A2">
      <w:pPr>
        <w:widowControl w:val="0"/>
        <w:numPr>
          <w:ilvl w:val="0"/>
          <w:numId w:val="3"/>
        </w:numPr>
        <w:spacing w:line="240" w:lineRule="auto"/>
        <w:ind w:left="600" w:hanging="360"/>
        <w:jc w:val="both"/>
      </w:pPr>
      <w:r w:rsidDel="00000000" w:rsidR="00000000" w:rsidRPr="00000000">
        <w:rPr>
          <w:sz w:val="24"/>
          <w:szCs w:val="24"/>
          <w:rtl w:val="0"/>
        </w:rPr>
        <w:t xml:space="preserve">Screening API - Sanctions.io, fecha de acceso: abril 9, 2026, </w:t>
      </w:r>
      <w:hyperlink r:id="rId53">
        <w:r w:rsidDel="00000000" w:rsidR="00000000" w:rsidRPr="00000000">
          <w:rPr>
            <w:color w:val="0000ee"/>
            <w:sz w:val="24"/>
            <w:szCs w:val="24"/>
            <w:u w:val="single"/>
            <w:rtl w:val="0"/>
          </w:rPr>
          <w:t xml:space="preserve">https://www.sanctions.io/solutions/screening-api</w:t>
        </w:r>
      </w:hyperlink>
      <w:r w:rsidDel="00000000" w:rsidR="00000000" w:rsidRPr="00000000">
        <w:rPr>
          <w:rtl w:val="0"/>
        </w:rPr>
      </w:r>
    </w:p>
    <w:p w:rsidR="00000000" w:rsidDel="00000000" w:rsidP="00000000" w:rsidRDefault="00000000" w:rsidRPr="00000000" w14:paraId="000000A3">
      <w:pPr>
        <w:widowControl w:val="0"/>
        <w:numPr>
          <w:ilvl w:val="0"/>
          <w:numId w:val="3"/>
        </w:numPr>
        <w:spacing w:line="240" w:lineRule="auto"/>
        <w:ind w:left="600" w:hanging="360"/>
        <w:jc w:val="both"/>
      </w:pPr>
      <w:r w:rsidDel="00000000" w:rsidR="00000000" w:rsidRPr="00000000">
        <w:rPr>
          <w:sz w:val="24"/>
          <w:szCs w:val="24"/>
          <w:rtl w:val="0"/>
        </w:rPr>
        <w:t xml:space="preserve">View Red Notices - Interpol, fecha de acceso: abril 9, 2026, </w:t>
      </w:r>
      <w:hyperlink r:id="rId54">
        <w:r w:rsidDel="00000000" w:rsidR="00000000" w:rsidRPr="00000000">
          <w:rPr>
            <w:color w:val="0000ee"/>
            <w:sz w:val="24"/>
            <w:szCs w:val="24"/>
            <w:u w:val="single"/>
            <w:rtl w:val="0"/>
          </w:rPr>
          <w:t xml:space="preserve">https://www.interpol.int/en/How-we-work/Notices/Red-Notices/View-Red-Notices</w:t>
        </w:r>
      </w:hyperlink>
      <w:r w:rsidDel="00000000" w:rsidR="00000000" w:rsidRPr="00000000">
        <w:rPr>
          <w:rtl w:val="0"/>
        </w:rPr>
      </w:r>
    </w:p>
    <w:p w:rsidR="00000000" w:rsidDel="00000000" w:rsidP="00000000" w:rsidRDefault="00000000" w:rsidRPr="00000000" w14:paraId="000000A4">
      <w:pPr>
        <w:widowControl w:val="0"/>
        <w:numPr>
          <w:ilvl w:val="0"/>
          <w:numId w:val="3"/>
        </w:numPr>
        <w:spacing w:line="240" w:lineRule="auto"/>
        <w:ind w:left="600" w:hanging="360"/>
        <w:jc w:val="both"/>
      </w:pPr>
      <w:r w:rsidDel="00000000" w:rsidR="00000000" w:rsidRPr="00000000">
        <w:rPr>
          <w:sz w:val="24"/>
          <w:szCs w:val="24"/>
          <w:rtl w:val="0"/>
        </w:rPr>
        <w:t xml:space="preserve">Interpol Notices API - OpenAPI Documentation, fecha de acceso: abril 9, 2026, </w:t>
      </w:r>
      <w:hyperlink r:id="rId55">
        <w:r w:rsidDel="00000000" w:rsidR="00000000" w:rsidRPr="00000000">
          <w:rPr>
            <w:color w:val="0000ee"/>
            <w:sz w:val="24"/>
            <w:szCs w:val="24"/>
            <w:u w:val="single"/>
            <w:rtl w:val="0"/>
          </w:rPr>
          <w:t xml:space="preserve">https://interpol.api.bund.dev/</w:t>
        </w:r>
      </w:hyperlink>
      <w:r w:rsidDel="00000000" w:rsidR="00000000" w:rsidRPr="00000000">
        <w:rPr>
          <w:rtl w:val="0"/>
        </w:rPr>
      </w:r>
    </w:p>
    <w:p w:rsidR="00000000" w:rsidDel="00000000" w:rsidP="00000000" w:rsidRDefault="00000000" w:rsidRPr="00000000" w14:paraId="000000A5">
      <w:pPr>
        <w:widowControl w:val="0"/>
        <w:numPr>
          <w:ilvl w:val="0"/>
          <w:numId w:val="3"/>
        </w:numPr>
        <w:spacing w:line="240" w:lineRule="auto"/>
        <w:ind w:left="600" w:hanging="360"/>
        <w:jc w:val="both"/>
      </w:pPr>
      <w:r w:rsidDel="00000000" w:rsidR="00000000" w:rsidRPr="00000000">
        <w:rPr>
          <w:sz w:val="24"/>
          <w:szCs w:val="24"/>
          <w:rtl w:val="0"/>
        </w:rPr>
        <w:t xml:space="preserve">OSINT automation using AI Agents - Medium, fecha de acceso: abril 9, 2026, </w:t>
      </w:r>
      <w:hyperlink r:id="rId56">
        <w:r w:rsidDel="00000000" w:rsidR="00000000" w:rsidRPr="00000000">
          <w:rPr>
            <w:color w:val="0000ee"/>
            <w:sz w:val="24"/>
            <w:szCs w:val="24"/>
            <w:u w:val="single"/>
            <w:rtl w:val="0"/>
          </w:rPr>
          <w:t xml:space="preserve">https://sandeepegalapati.medium.com/osint-automation-using-ai-agents-5550acd18fe9</w:t>
        </w:r>
      </w:hyperlink>
      <w:r w:rsidDel="00000000" w:rsidR="00000000" w:rsidRPr="00000000">
        <w:rPr>
          <w:rtl w:val="0"/>
        </w:rPr>
      </w:r>
    </w:p>
    <w:p w:rsidR="00000000" w:rsidDel="00000000" w:rsidP="00000000" w:rsidRDefault="00000000" w:rsidRPr="00000000" w14:paraId="000000A6">
      <w:pPr>
        <w:widowControl w:val="0"/>
        <w:numPr>
          <w:ilvl w:val="0"/>
          <w:numId w:val="3"/>
        </w:numPr>
        <w:spacing w:line="240" w:lineRule="auto"/>
        <w:ind w:left="600" w:hanging="360"/>
        <w:jc w:val="both"/>
      </w:pPr>
      <w:r w:rsidDel="00000000" w:rsidR="00000000" w:rsidRPr="00000000">
        <w:rPr>
          <w:sz w:val="24"/>
          <w:szCs w:val="24"/>
          <w:rtl w:val="0"/>
        </w:rPr>
        <w:t xml:space="preserve">khanxmetu/Interpol-Red-DL - GitHub, fecha de acceso: abril 9, 2026, </w:t>
      </w:r>
      <w:hyperlink r:id="rId57">
        <w:r w:rsidDel="00000000" w:rsidR="00000000" w:rsidRPr="00000000">
          <w:rPr>
            <w:color w:val="0000ee"/>
            <w:sz w:val="24"/>
            <w:szCs w:val="24"/>
            <w:u w:val="single"/>
            <w:rtl w:val="0"/>
          </w:rPr>
          <w:t xml:space="preserve">https://github.com/khanxmetu/Interpol-Red-DL</w:t>
        </w:r>
      </w:hyperlink>
      <w:r w:rsidDel="00000000" w:rsidR="00000000" w:rsidRPr="00000000">
        <w:rPr>
          <w:rtl w:val="0"/>
        </w:rPr>
      </w:r>
    </w:p>
    <w:p w:rsidR="00000000" w:rsidDel="00000000" w:rsidP="00000000" w:rsidRDefault="00000000" w:rsidRPr="00000000" w14:paraId="000000A7">
      <w:pPr>
        <w:widowControl w:val="0"/>
        <w:numPr>
          <w:ilvl w:val="0"/>
          <w:numId w:val="3"/>
        </w:numPr>
        <w:spacing w:line="240" w:lineRule="auto"/>
        <w:ind w:left="600" w:hanging="360"/>
        <w:jc w:val="both"/>
      </w:pPr>
      <w:r w:rsidDel="00000000" w:rsidR="00000000" w:rsidRPr="00000000">
        <w:rPr>
          <w:sz w:val="24"/>
          <w:szCs w:val="24"/>
          <w:rtl w:val="0"/>
        </w:rPr>
        <w:t xml:space="preserve">Developers | OFAC API - Complete Compliance Solutions, fecha de acceso: abril 9, 2026, </w:t>
      </w:r>
      <w:hyperlink r:id="rId58">
        <w:r w:rsidDel="00000000" w:rsidR="00000000" w:rsidRPr="00000000">
          <w:rPr>
            <w:color w:val="0000ee"/>
            <w:sz w:val="24"/>
            <w:szCs w:val="24"/>
            <w:u w:val="single"/>
            <w:rtl w:val="0"/>
          </w:rPr>
          <w:t xml:space="preserve">https://www.ofac-api.com/developers</w:t>
        </w:r>
      </w:hyperlink>
      <w:r w:rsidDel="00000000" w:rsidR="00000000" w:rsidRPr="00000000">
        <w:rPr>
          <w:rtl w:val="0"/>
        </w:rPr>
      </w:r>
    </w:p>
    <w:p w:rsidR="00000000" w:rsidDel="00000000" w:rsidP="00000000" w:rsidRDefault="00000000" w:rsidRPr="00000000" w14:paraId="000000A8">
      <w:pPr>
        <w:widowControl w:val="0"/>
        <w:numPr>
          <w:ilvl w:val="0"/>
          <w:numId w:val="3"/>
        </w:numPr>
        <w:spacing w:line="240" w:lineRule="auto"/>
        <w:ind w:left="600" w:hanging="360"/>
        <w:jc w:val="both"/>
      </w:pPr>
      <w:r w:rsidDel="00000000" w:rsidR="00000000" w:rsidRPr="00000000">
        <w:rPr>
          <w:sz w:val="24"/>
          <w:szCs w:val="24"/>
          <w:rtl w:val="0"/>
        </w:rPr>
        <w:t xml:space="preserve">Compli API | OFAC sanctions and geo-fencing streamlined, fecha de acceso: abril 9, 2026, </w:t>
      </w:r>
      <w:hyperlink r:id="rId59">
        <w:r w:rsidDel="00000000" w:rsidR="00000000" w:rsidRPr="00000000">
          <w:rPr>
            <w:color w:val="0000ee"/>
            <w:sz w:val="24"/>
            <w:szCs w:val="24"/>
            <w:u w:val="single"/>
            <w:rtl w:val="0"/>
          </w:rPr>
          <w:t xml:space="preserve">https://compliapi.com/</w:t>
        </w:r>
      </w:hyperlink>
      <w:r w:rsidDel="00000000" w:rsidR="00000000" w:rsidRPr="00000000">
        <w:rPr>
          <w:rtl w:val="0"/>
        </w:rPr>
      </w:r>
    </w:p>
    <w:p w:rsidR="00000000" w:rsidDel="00000000" w:rsidP="00000000" w:rsidRDefault="00000000" w:rsidRPr="00000000" w14:paraId="000000A9">
      <w:pPr>
        <w:widowControl w:val="0"/>
        <w:numPr>
          <w:ilvl w:val="0"/>
          <w:numId w:val="3"/>
        </w:numPr>
        <w:spacing w:line="240" w:lineRule="auto"/>
        <w:ind w:left="600" w:hanging="360"/>
        <w:jc w:val="both"/>
      </w:pPr>
      <w:r w:rsidDel="00000000" w:rsidR="00000000" w:rsidRPr="00000000">
        <w:rPr>
          <w:sz w:val="24"/>
          <w:szCs w:val="24"/>
          <w:rtl w:val="0"/>
        </w:rPr>
        <w:t xml:space="preserve">Integrated OFAC Compliance and Automated List Screening, fecha de acceso: abril 9, 2026, </w:t>
      </w:r>
      <w:hyperlink r:id="rId60">
        <w:r w:rsidDel="00000000" w:rsidR="00000000" w:rsidRPr="00000000">
          <w:rPr>
            <w:color w:val="0000ee"/>
            <w:sz w:val="24"/>
            <w:szCs w:val="24"/>
            <w:u w:val="single"/>
            <w:rtl w:val="0"/>
          </w:rPr>
          <w:t xml:space="preserve">https://www.visualofac.com/ofac-search-screening-solutions/ofac-erp-integration/</w:t>
        </w:r>
      </w:hyperlink>
      <w:r w:rsidDel="00000000" w:rsidR="00000000" w:rsidRPr="00000000">
        <w:rPr>
          <w:rtl w:val="0"/>
        </w:rPr>
      </w:r>
    </w:p>
    <w:p w:rsidR="00000000" w:rsidDel="00000000" w:rsidP="00000000" w:rsidRDefault="00000000" w:rsidRPr="00000000" w14:paraId="000000AA">
      <w:pPr>
        <w:widowControl w:val="0"/>
        <w:numPr>
          <w:ilvl w:val="0"/>
          <w:numId w:val="3"/>
        </w:numPr>
        <w:spacing w:line="240" w:lineRule="auto"/>
        <w:ind w:left="600" w:hanging="360"/>
        <w:jc w:val="both"/>
      </w:pPr>
      <w:r w:rsidDel="00000000" w:rsidR="00000000" w:rsidRPr="00000000">
        <w:rPr>
          <w:sz w:val="24"/>
          <w:szCs w:val="24"/>
          <w:rtl w:val="0"/>
        </w:rPr>
        <w:t xml:space="preserve">OFAC Consolidated Frequently Asked Questions | Office of Foreign Assets Control, fecha de acceso: abril 9, 2026, </w:t>
      </w:r>
      <w:hyperlink r:id="rId61">
        <w:r w:rsidDel="00000000" w:rsidR="00000000" w:rsidRPr="00000000">
          <w:rPr>
            <w:color w:val="0000ee"/>
            <w:sz w:val="24"/>
            <w:szCs w:val="24"/>
            <w:u w:val="single"/>
            <w:rtl w:val="0"/>
          </w:rPr>
          <w:t xml:space="preserve">https://ofac.treasury.gov/faqs/all-faqs</w:t>
        </w:r>
      </w:hyperlink>
      <w:r w:rsidDel="00000000" w:rsidR="00000000" w:rsidRPr="00000000">
        <w:rPr>
          <w:rtl w:val="0"/>
        </w:rPr>
      </w:r>
    </w:p>
    <w:p w:rsidR="00000000" w:rsidDel="00000000" w:rsidP="00000000" w:rsidRDefault="00000000" w:rsidRPr="00000000" w14:paraId="000000AB">
      <w:pPr>
        <w:widowControl w:val="0"/>
        <w:numPr>
          <w:ilvl w:val="0"/>
          <w:numId w:val="3"/>
        </w:numPr>
        <w:spacing w:line="240" w:lineRule="auto"/>
        <w:ind w:left="600" w:hanging="360"/>
        <w:jc w:val="both"/>
      </w:pPr>
      <w:r w:rsidDel="00000000" w:rsidR="00000000" w:rsidRPr="00000000">
        <w:rPr>
          <w:sz w:val="24"/>
          <w:szCs w:val="24"/>
          <w:rtl w:val="0"/>
        </w:rPr>
        <w:t xml:space="preserve">Steps in Automating OFAC Compliance - ThreatSTOP, fecha de acceso: abril 9, 2026, </w:t>
      </w:r>
      <w:hyperlink r:id="rId62">
        <w:r w:rsidDel="00000000" w:rsidR="00000000" w:rsidRPr="00000000">
          <w:rPr>
            <w:color w:val="0000ee"/>
            <w:sz w:val="24"/>
            <w:szCs w:val="24"/>
            <w:u w:val="single"/>
            <w:rtl w:val="0"/>
          </w:rPr>
          <w:t xml:space="preserve">https://www.threatstop.com/blog/steps-in-automating-ofac-compliance</w:t>
        </w:r>
      </w:hyperlink>
      <w:r w:rsidDel="00000000" w:rsidR="00000000" w:rsidRPr="00000000">
        <w:rPr>
          <w:rtl w:val="0"/>
        </w:rPr>
      </w:r>
    </w:p>
    <w:p w:rsidR="00000000" w:rsidDel="00000000" w:rsidP="00000000" w:rsidRDefault="00000000" w:rsidRPr="00000000" w14:paraId="000000AC">
      <w:pPr>
        <w:widowControl w:val="0"/>
        <w:numPr>
          <w:ilvl w:val="0"/>
          <w:numId w:val="3"/>
        </w:numPr>
        <w:spacing w:line="240" w:lineRule="auto"/>
        <w:ind w:left="600" w:hanging="360"/>
        <w:jc w:val="both"/>
      </w:pPr>
      <w:r w:rsidDel="00000000" w:rsidR="00000000" w:rsidRPr="00000000">
        <w:rPr>
          <w:sz w:val="24"/>
          <w:szCs w:val="24"/>
          <w:rtl w:val="0"/>
        </w:rPr>
        <w:t xml:space="preserve">How to Run an OFAC check + 5 OFAC API Tools to Automate It | Middesk, fecha de acceso: abril 9, 2026, </w:t>
      </w:r>
      <w:hyperlink r:id="rId63">
        <w:r w:rsidDel="00000000" w:rsidR="00000000" w:rsidRPr="00000000">
          <w:rPr>
            <w:color w:val="0000ee"/>
            <w:sz w:val="24"/>
            <w:szCs w:val="24"/>
            <w:u w:val="single"/>
            <w:rtl w:val="0"/>
          </w:rPr>
          <w:t xml:space="preserve">https://www.middesk.com/blog/how-to-run-an-ofac-check</w:t>
        </w:r>
      </w:hyperlink>
      <w:r w:rsidDel="00000000" w:rsidR="00000000" w:rsidRPr="00000000">
        <w:rPr>
          <w:rtl w:val="0"/>
        </w:rPr>
      </w:r>
    </w:p>
    <w:p w:rsidR="00000000" w:rsidDel="00000000" w:rsidP="00000000" w:rsidRDefault="00000000" w:rsidRPr="00000000" w14:paraId="000000AD">
      <w:pPr>
        <w:widowControl w:val="0"/>
        <w:numPr>
          <w:ilvl w:val="0"/>
          <w:numId w:val="3"/>
        </w:numPr>
        <w:spacing w:line="240" w:lineRule="auto"/>
        <w:ind w:left="600" w:hanging="360"/>
        <w:jc w:val="both"/>
      </w:pPr>
      <w:r w:rsidDel="00000000" w:rsidR="00000000" w:rsidRPr="00000000">
        <w:rPr>
          <w:sz w:val="24"/>
          <w:szCs w:val="24"/>
          <w:rtl w:val="0"/>
        </w:rPr>
        <w:t xml:space="preserve">Zero-Knowledge Proof-Based Identity Verification in Distributed Financial Networks - IJSAT, fecha de acceso: abril 9, 2026, </w:t>
      </w:r>
      <w:hyperlink r:id="rId64">
        <w:r w:rsidDel="00000000" w:rsidR="00000000" w:rsidRPr="00000000">
          <w:rPr>
            <w:color w:val="0000ee"/>
            <w:sz w:val="24"/>
            <w:szCs w:val="24"/>
            <w:u w:val="single"/>
            <w:rtl w:val="0"/>
          </w:rPr>
          <w:t xml:space="preserve">https://www.ijsat.org/papers/2025/3/8750.pdf</w:t>
        </w:r>
      </w:hyperlink>
      <w:r w:rsidDel="00000000" w:rsidR="00000000" w:rsidRPr="00000000">
        <w:rPr>
          <w:rtl w:val="0"/>
        </w:rPr>
      </w:r>
    </w:p>
    <w:p w:rsidR="00000000" w:rsidDel="00000000" w:rsidP="00000000" w:rsidRDefault="00000000" w:rsidRPr="00000000" w14:paraId="000000AE">
      <w:pPr>
        <w:widowControl w:val="0"/>
        <w:numPr>
          <w:ilvl w:val="0"/>
          <w:numId w:val="3"/>
        </w:numPr>
        <w:spacing w:line="240" w:lineRule="auto"/>
        <w:ind w:left="600" w:hanging="360"/>
        <w:jc w:val="both"/>
      </w:pPr>
      <w:r w:rsidDel="00000000" w:rsidR="00000000" w:rsidRPr="00000000">
        <w:rPr>
          <w:sz w:val="24"/>
          <w:szCs w:val="24"/>
          <w:rtl w:val="0"/>
        </w:rPr>
        <w:t xml:space="preserve">Zero-Knowledge Proof (ZKP) Authentication for Offline CBDC Payment System Using IoT Devices - arXiv, fecha de acceso: abril 9, 2026, </w:t>
      </w:r>
      <w:hyperlink r:id="rId65">
        <w:r w:rsidDel="00000000" w:rsidR="00000000" w:rsidRPr="00000000">
          <w:rPr>
            <w:color w:val="0000ee"/>
            <w:sz w:val="24"/>
            <w:szCs w:val="24"/>
            <w:u w:val="single"/>
            <w:rtl w:val="0"/>
          </w:rPr>
          <w:t xml:space="preserve">https://arxiv.org/html/2603.03804v1</w:t>
        </w:r>
      </w:hyperlink>
      <w:r w:rsidDel="00000000" w:rsidR="00000000" w:rsidRPr="00000000">
        <w:rPr>
          <w:rtl w:val="0"/>
        </w:rPr>
      </w:r>
    </w:p>
    <w:p w:rsidR="00000000" w:rsidDel="00000000" w:rsidP="00000000" w:rsidRDefault="00000000" w:rsidRPr="00000000" w14:paraId="000000AF">
      <w:pPr>
        <w:widowControl w:val="0"/>
        <w:numPr>
          <w:ilvl w:val="0"/>
          <w:numId w:val="3"/>
        </w:numPr>
        <w:spacing w:line="240" w:lineRule="auto"/>
        <w:ind w:left="600" w:hanging="360"/>
        <w:jc w:val="both"/>
      </w:pPr>
      <w:r w:rsidDel="00000000" w:rsidR="00000000" w:rsidRPr="00000000">
        <w:rPr>
          <w:sz w:val="24"/>
          <w:szCs w:val="24"/>
          <w:rtl w:val="0"/>
        </w:rPr>
        <w:t xml:space="preserve">Example ZK Projects - Fundamentals of Zero-Knowledge Proofs (ZKPs) - Blockchain and Smart Contract Development Courses - Cyfrin Updraft, fecha de acceso: abril 9, 2026, </w:t>
      </w:r>
      <w:hyperlink r:id="rId66">
        <w:r w:rsidDel="00000000" w:rsidR="00000000" w:rsidRPr="00000000">
          <w:rPr>
            <w:color w:val="0000ee"/>
            <w:sz w:val="24"/>
            <w:szCs w:val="24"/>
            <w:u w:val="single"/>
            <w:rtl w:val="0"/>
          </w:rPr>
          <w:t xml:space="preserve">https://updraft.cyfrin.io/courses/fundamentals-of-zero-knowledge-proofs/fundamentals/examples-zk-projects</w:t>
        </w:r>
      </w:hyperlink>
      <w:r w:rsidDel="00000000" w:rsidR="00000000" w:rsidRPr="00000000">
        <w:rPr>
          <w:rtl w:val="0"/>
        </w:rPr>
      </w:r>
    </w:p>
    <w:p w:rsidR="00000000" w:rsidDel="00000000" w:rsidP="00000000" w:rsidRDefault="00000000" w:rsidRPr="00000000" w14:paraId="000000B0">
      <w:pPr>
        <w:widowControl w:val="0"/>
        <w:numPr>
          <w:ilvl w:val="0"/>
          <w:numId w:val="3"/>
        </w:numPr>
        <w:spacing w:line="240" w:lineRule="auto"/>
        <w:ind w:left="600" w:hanging="360"/>
        <w:jc w:val="both"/>
      </w:pPr>
      <w:r w:rsidDel="00000000" w:rsidR="00000000" w:rsidRPr="00000000">
        <w:rPr>
          <w:sz w:val="24"/>
          <w:szCs w:val="24"/>
          <w:rtl w:val="0"/>
        </w:rPr>
        <w:t xml:space="preserve">Zero-knowledge proof - Wikipedia, fecha de acceso: abril 9, 2026, </w:t>
      </w:r>
      <w:hyperlink r:id="rId67">
        <w:r w:rsidDel="00000000" w:rsidR="00000000" w:rsidRPr="00000000">
          <w:rPr>
            <w:color w:val="0000ee"/>
            <w:sz w:val="24"/>
            <w:szCs w:val="24"/>
            <w:u w:val="single"/>
            <w:rtl w:val="0"/>
          </w:rPr>
          <w:t xml:space="preserve">https://en.wikipedia.org/wiki/Zero-knowledge_proof</w:t>
        </w:r>
      </w:hyperlink>
      <w:r w:rsidDel="00000000" w:rsidR="00000000" w:rsidRPr="00000000">
        <w:rPr>
          <w:rtl w:val="0"/>
        </w:rPr>
      </w:r>
    </w:p>
    <w:p w:rsidR="00000000" w:rsidDel="00000000" w:rsidP="00000000" w:rsidRDefault="00000000" w:rsidRPr="00000000" w14:paraId="000000B1">
      <w:pPr>
        <w:widowControl w:val="0"/>
        <w:numPr>
          <w:ilvl w:val="0"/>
          <w:numId w:val="3"/>
        </w:numPr>
        <w:spacing w:line="240" w:lineRule="auto"/>
        <w:ind w:left="600" w:hanging="360"/>
        <w:jc w:val="both"/>
      </w:pPr>
      <w:r w:rsidDel="00000000" w:rsidR="00000000" w:rsidRPr="00000000">
        <w:rPr>
          <w:sz w:val="24"/>
          <w:szCs w:val="24"/>
          <w:rtl w:val="0"/>
        </w:rPr>
        <w:t xml:space="preserve">Zero-Knowledge Architecture: Privacy by Design | by Rost Glukhov - Medium, fecha de acceso: abril 9, 2026, </w:t>
      </w:r>
      <w:hyperlink r:id="rId68">
        <w:r w:rsidDel="00000000" w:rsidR="00000000" w:rsidRPr="00000000">
          <w:rPr>
            <w:color w:val="0000ee"/>
            <w:sz w:val="24"/>
            <w:szCs w:val="24"/>
            <w:u w:val="single"/>
            <w:rtl w:val="0"/>
          </w:rPr>
          <w:t xml:space="preserve">https://medium.com/@rosgluk/zero-knowledge-architecture-privacy-by-design-ba8993fa27d7</w:t>
        </w:r>
      </w:hyperlink>
      <w:r w:rsidDel="00000000" w:rsidR="00000000" w:rsidRPr="00000000">
        <w:rPr>
          <w:rtl w:val="0"/>
        </w:rPr>
      </w:r>
    </w:p>
    <w:p w:rsidR="00000000" w:rsidDel="00000000" w:rsidP="00000000" w:rsidRDefault="00000000" w:rsidRPr="00000000" w14:paraId="000000B2">
      <w:pPr>
        <w:widowControl w:val="0"/>
        <w:numPr>
          <w:ilvl w:val="0"/>
          <w:numId w:val="3"/>
        </w:numPr>
        <w:spacing w:line="240" w:lineRule="auto"/>
        <w:ind w:left="600" w:hanging="360"/>
        <w:jc w:val="both"/>
      </w:pPr>
      <w:r w:rsidDel="00000000" w:rsidR="00000000" w:rsidRPr="00000000">
        <w:rPr>
          <w:sz w:val="24"/>
          <w:szCs w:val="24"/>
          <w:rtl w:val="0"/>
        </w:rPr>
        <w:t xml:space="preserve">Polygon ID vs Worldcoin vs zkPass: Which ZK Identity Protocol Should You Use? - General, fecha de acceso: abril 9, 2026, </w:t>
      </w:r>
      <w:hyperlink r:id="rId69">
        <w:r w:rsidDel="00000000" w:rsidR="00000000" w:rsidRPr="00000000">
          <w:rPr>
            <w:color w:val="0000ee"/>
            <w:sz w:val="24"/>
            <w:szCs w:val="24"/>
            <w:u w:val="single"/>
            <w:rtl w:val="0"/>
          </w:rPr>
          <w:t xml:space="preserve">https://blockeden.xyz/forum/t/polygon-id-vs-worldcoin-vs-zkpass-which-zk-identity-protocol-should-you-use/325</w:t>
        </w:r>
      </w:hyperlink>
      <w:r w:rsidDel="00000000" w:rsidR="00000000" w:rsidRPr="00000000">
        <w:rPr>
          <w:rtl w:val="0"/>
        </w:rPr>
      </w:r>
    </w:p>
    <w:p w:rsidR="00000000" w:rsidDel="00000000" w:rsidP="00000000" w:rsidRDefault="00000000" w:rsidRPr="00000000" w14:paraId="000000B3">
      <w:pPr>
        <w:widowControl w:val="0"/>
        <w:numPr>
          <w:ilvl w:val="0"/>
          <w:numId w:val="3"/>
        </w:numPr>
        <w:spacing w:line="240" w:lineRule="auto"/>
        <w:ind w:left="600" w:hanging="360"/>
        <w:jc w:val="both"/>
      </w:pPr>
      <w:r w:rsidDel="00000000" w:rsidR="00000000" w:rsidRPr="00000000">
        <w:rPr>
          <w:sz w:val="24"/>
          <w:szCs w:val="24"/>
          <w:rtl w:val="0"/>
        </w:rPr>
        <w:t xml:space="preserve">Introducing Polygon ID, Zero-Knowledge Identity for Web3, fecha de acceso: abril 9, 2026, </w:t>
      </w:r>
      <w:hyperlink r:id="rId70">
        <w:r w:rsidDel="00000000" w:rsidR="00000000" w:rsidRPr="00000000">
          <w:rPr>
            <w:color w:val="0000ee"/>
            <w:sz w:val="24"/>
            <w:szCs w:val="24"/>
            <w:u w:val="single"/>
            <w:rtl w:val="0"/>
          </w:rPr>
          <w:t xml:space="preserve">https://polygon.technology/blog/introducing-polygon-id-zero-knowledge-own-your-identity-for-web3</w:t>
        </w:r>
      </w:hyperlink>
      <w:r w:rsidDel="00000000" w:rsidR="00000000" w:rsidRPr="00000000">
        <w:rPr>
          <w:rtl w:val="0"/>
        </w:rPr>
      </w:r>
    </w:p>
    <w:p w:rsidR="00000000" w:rsidDel="00000000" w:rsidP="00000000" w:rsidRDefault="00000000" w:rsidRPr="00000000" w14:paraId="000000B4">
      <w:pPr>
        <w:widowControl w:val="0"/>
        <w:numPr>
          <w:ilvl w:val="0"/>
          <w:numId w:val="3"/>
        </w:numPr>
        <w:spacing w:line="240" w:lineRule="auto"/>
        <w:ind w:left="600" w:hanging="360"/>
        <w:jc w:val="both"/>
      </w:pPr>
      <w:r w:rsidDel="00000000" w:rsidR="00000000" w:rsidRPr="00000000">
        <w:rPr>
          <w:sz w:val="24"/>
          <w:szCs w:val="24"/>
          <w:rtl w:val="0"/>
        </w:rPr>
        <w:t xml:space="preserve">ZK-KYC: The Future of Institutional Compliance in Decentralized Finance - Studio AM, fecha de acceso: abril 9, 2026, </w:t>
      </w:r>
      <w:hyperlink r:id="rId71">
        <w:r w:rsidDel="00000000" w:rsidR="00000000" w:rsidRPr="00000000">
          <w:rPr>
            <w:color w:val="0000ee"/>
            <w:sz w:val="24"/>
            <w:szCs w:val="24"/>
            <w:u w:val="single"/>
            <w:rtl w:val="0"/>
          </w:rPr>
          <w:t xml:space="preserve">https://studioam.ai/zk-kyc-the-future-of-institutional-compliance-in-decentralized-finance/</w:t>
        </w:r>
      </w:hyperlink>
      <w:r w:rsidDel="00000000" w:rsidR="00000000" w:rsidRPr="00000000">
        <w:rPr>
          <w:rtl w:val="0"/>
        </w:rPr>
      </w:r>
    </w:p>
    <w:p w:rsidR="00000000" w:rsidDel="00000000" w:rsidP="00000000" w:rsidRDefault="00000000" w:rsidRPr="00000000" w14:paraId="000000B5">
      <w:pPr>
        <w:widowControl w:val="0"/>
        <w:numPr>
          <w:ilvl w:val="0"/>
          <w:numId w:val="3"/>
        </w:numPr>
        <w:spacing w:line="240" w:lineRule="auto"/>
        <w:ind w:left="600" w:hanging="360"/>
        <w:jc w:val="both"/>
      </w:pPr>
      <w:r w:rsidDel="00000000" w:rsidR="00000000" w:rsidRPr="00000000">
        <w:rPr>
          <w:sz w:val="24"/>
          <w:szCs w:val="24"/>
          <w:rtl w:val="0"/>
        </w:rPr>
        <w:t xml:space="preserve">zk-X509: Privacy-Preserving On-Chain Identity from Legacy PKI via Zero-Knowledge Proofs, fecha de acceso: abril 9, 2026, </w:t>
      </w:r>
      <w:hyperlink r:id="rId72">
        <w:r w:rsidDel="00000000" w:rsidR="00000000" w:rsidRPr="00000000">
          <w:rPr>
            <w:color w:val="0000ee"/>
            <w:sz w:val="24"/>
            <w:szCs w:val="24"/>
            <w:u w:val="single"/>
            <w:rtl w:val="0"/>
          </w:rPr>
          <w:t xml:space="preserve">https://arxiv.org/html/2603.25190v1</w:t>
        </w:r>
      </w:hyperlink>
      <w:r w:rsidDel="00000000" w:rsidR="00000000" w:rsidRPr="00000000">
        <w:rPr>
          <w:rtl w:val="0"/>
        </w:rPr>
      </w:r>
    </w:p>
    <w:p w:rsidR="00000000" w:rsidDel="00000000" w:rsidP="00000000" w:rsidRDefault="00000000" w:rsidRPr="00000000" w14:paraId="000000B6">
      <w:pPr>
        <w:widowControl w:val="0"/>
        <w:numPr>
          <w:ilvl w:val="0"/>
          <w:numId w:val="3"/>
        </w:numPr>
        <w:spacing w:line="240" w:lineRule="auto"/>
        <w:ind w:left="600" w:hanging="360"/>
        <w:jc w:val="both"/>
      </w:pPr>
      <w:r w:rsidDel="00000000" w:rsidR="00000000" w:rsidRPr="00000000">
        <w:rPr>
          <w:sz w:val="24"/>
          <w:szCs w:val="24"/>
          <w:rtl w:val="0"/>
        </w:rPr>
        <w:t xml:space="preserve">Learning Web3 from the Ground Up - What Are Zero-Knowledge Proofs (ZKPs)?, fecha de acceso: abril 9, 2026, </w:t>
      </w:r>
      <w:hyperlink r:id="rId73">
        <w:r w:rsidDel="00000000" w:rsidR="00000000" w:rsidRPr="00000000">
          <w:rPr>
            <w:color w:val="0000ee"/>
            <w:sz w:val="24"/>
            <w:szCs w:val="24"/>
            <w:u w:val="single"/>
            <w:rtl w:val="0"/>
          </w:rPr>
          <w:t xml:space="preserve">https://docs.midnight.network/blog/web3-intro-what-are-zkps</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ikecapuzzi.com/dan-kennedy-dog-whistle/" TargetMode="External"/><Relationship Id="rId42" Type="http://schemas.openxmlformats.org/officeDocument/2006/relationships/hyperlink" Target="https://ironmikesteadman.medium.com/the-dog-whistle-branding-playbook-a-guide-for-growth-stage-veteran-owned-businesses-to-engage-your-a71a414f7ec0" TargetMode="External"/><Relationship Id="rId41" Type="http://schemas.openxmlformats.org/officeDocument/2006/relationships/hyperlink" Target="https://www.jedwylie.com/post/how-to-find-paying-customers-using-dog-whistle-copy" TargetMode="External"/><Relationship Id="rId44" Type="http://schemas.openxmlformats.org/officeDocument/2006/relationships/hyperlink" Target="https://www.offgridweb.com/preparation/steganography-more-than-meets-the-eye/" TargetMode="External"/><Relationship Id="rId43" Type="http://schemas.openxmlformats.org/officeDocument/2006/relationships/hyperlink" Target="https://www.youtube.com/watch?v=79mEkpDwAGU" TargetMode="External"/><Relationship Id="rId46" Type="http://schemas.openxmlformats.org/officeDocument/2006/relationships/hyperlink" Target="https://medium.com/@RocketMeUpCybersecurity/steganography-in-cyber-espionage-hidden-data-in-multimedia-files-as-a-stealth-attack-vector-0ac09cb9000d" TargetMode="External"/><Relationship Id="rId45" Type="http://schemas.openxmlformats.org/officeDocument/2006/relationships/hyperlink" Target="https://citizenlab.ca/statement-on-the-fatal-flaws-found-in-a-defunct-cia-covert-communications-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J%C5%8Dhatsu" TargetMode="External"/><Relationship Id="rId48" Type="http://schemas.openxmlformats.org/officeDocument/2006/relationships/hyperlink" Target="https://securityaffairs.com/47243/terrorism/covert-communications-terrorists.html" TargetMode="External"/><Relationship Id="rId47" Type="http://schemas.openxmlformats.org/officeDocument/2006/relationships/hyperlink" Target="https://ro.ecu.edu.au/isw/58/" TargetMode="External"/><Relationship Id="rId49" Type="http://schemas.openxmlformats.org/officeDocument/2006/relationships/hyperlink" Target="https://www.cybercom.mil/Media/News/Article/3895345/russian-disinformation-campaign-doppelgnger-unmasked-a-web-of-deceptio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73" Type="http://schemas.openxmlformats.org/officeDocument/2006/relationships/hyperlink" Target="https://docs.midnight.network/blog/web3-intro-what-are-zkps" TargetMode="External"/><Relationship Id="rId72" Type="http://schemas.openxmlformats.org/officeDocument/2006/relationships/hyperlink" Target="https://arxiv.org/html/2603.25190v1" TargetMode="External"/><Relationship Id="rId31" Type="http://schemas.openxmlformats.org/officeDocument/2006/relationships/hyperlink" Target="https://www.recordedfuture.com/research/latin-america-and-the-caribbean-cybercrime-landscape" TargetMode="External"/><Relationship Id="rId30" Type="http://schemas.openxmlformats.org/officeDocument/2006/relationships/hyperlink" Target="https://nym.com/nym-whitepaper.pdf" TargetMode="External"/><Relationship Id="rId33" Type="http://schemas.openxmlformats.org/officeDocument/2006/relationships/hyperlink" Target="https://www.secoia-excon.com/post/the-birth-certificate-is-the-most-dangerous-document-in-your-identity-system" TargetMode="External"/><Relationship Id="rId32" Type="http://schemas.openxmlformats.org/officeDocument/2006/relationships/hyperlink" Target="https://www.ftc.gov/system/files/documents/videos/identity-theft-planning-future-part-1/ftc_identity_theft_planning_for_the_future_transcript_segment_1.pdf" TargetMode="External"/><Relationship Id="rId35" Type="http://schemas.openxmlformats.org/officeDocument/2006/relationships/hyperlink" Target="https://publications.iadb.org/publications/english/document/Building-Scenarios-for-the-Future-of-Digital-Identification-Systems-in-Latin-America-and-the-Caribbean.pdf" TargetMode="External"/><Relationship Id="rId34" Type="http://schemas.openxmlformats.org/officeDocument/2006/relationships/hyperlink" Target="https://www.ftc.gov/system/files/documents/public_events/987523/identitytheftconference-slides.pdf" TargetMode="External"/><Relationship Id="rId71" Type="http://schemas.openxmlformats.org/officeDocument/2006/relationships/hyperlink" Target="https://studioam.ai/zk-kyc-the-future-of-institutional-compliance-in-decentralized-finance/" TargetMode="External"/><Relationship Id="rId70" Type="http://schemas.openxmlformats.org/officeDocument/2006/relationships/hyperlink" Target="https://polygon.technology/blog/introducing-polygon-id-zero-knowledge-own-your-identity-for-web3" TargetMode="External"/><Relationship Id="rId37" Type="http://schemas.openxmlformats.org/officeDocument/2006/relationships/hyperlink" Target="https://www.unicef.org/lac/en/reports/access-and-use-civil-registration-migrants-refugees-latin-america-caribbean" TargetMode="External"/><Relationship Id="rId36" Type="http://schemas.openxmlformats.org/officeDocument/2006/relationships/hyperlink" Target="https://www.opengovpartnership.org/stories/navigating-the-risks-and-rewards-of-digital-id-systems/" TargetMode="External"/><Relationship Id="rId39" Type="http://schemas.openxmlformats.org/officeDocument/2006/relationships/hyperlink" Target="https://ciec1.org/wp-content/uploads/2025/03/Rapport-Fraude-EN.pdf" TargetMode="External"/><Relationship Id="rId38" Type="http://schemas.openxmlformats.org/officeDocument/2006/relationships/hyperlink" Target="https://opendatawatch.com/blog/strengthening-crvs-systems-to-improve-migration-policy/" TargetMode="External"/><Relationship Id="rId62" Type="http://schemas.openxmlformats.org/officeDocument/2006/relationships/hyperlink" Target="https://www.threatstop.com/blog/steps-in-automating-ofac-compliance" TargetMode="External"/><Relationship Id="rId61" Type="http://schemas.openxmlformats.org/officeDocument/2006/relationships/hyperlink" Target="https://ofac.treasury.gov/faqs/all-faqs" TargetMode="External"/><Relationship Id="rId20" Type="http://schemas.openxmlformats.org/officeDocument/2006/relationships/hyperlink" Target="https://www.crowdstrike.com/en-us/cybersecurity-101/identity-protection/synthetic-identity-fraud/" TargetMode="External"/><Relationship Id="rId64" Type="http://schemas.openxmlformats.org/officeDocument/2006/relationships/hyperlink" Target="https://www.ijsat.org/papers/2025/3/8750.pdf" TargetMode="External"/><Relationship Id="rId63" Type="http://schemas.openxmlformats.org/officeDocument/2006/relationships/hyperlink" Target="https://www.middesk.com/blog/how-to-run-an-ofac-check" TargetMode="External"/><Relationship Id="rId22" Type="http://schemas.openxmlformats.org/officeDocument/2006/relationships/hyperlink" Target="https://seon.io/wp-content/uploads/2022/02/SEON_Guide_to_OSINT.pdf" TargetMode="External"/><Relationship Id="rId66" Type="http://schemas.openxmlformats.org/officeDocument/2006/relationships/hyperlink" Target="https://updraft.cyfrin.io/courses/fundamentals-of-zero-knowledge-proofs/fundamentals/examples-zk-projects" TargetMode="External"/><Relationship Id="rId21" Type="http://schemas.openxmlformats.org/officeDocument/2006/relationships/hyperlink" Target="https://www.crowdstrike.com/en-us/global-threat-report/" TargetMode="External"/><Relationship Id="rId65" Type="http://schemas.openxmlformats.org/officeDocument/2006/relationships/hyperlink" Target="https://arxiv.org/html/2603.03804v1" TargetMode="External"/><Relationship Id="rId24" Type="http://schemas.openxmlformats.org/officeDocument/2006/relationships/hyperlink" Target="https://www.reddit.com/r/digitalminimalism/comments/1palaw8/how_do_you_wipe_your_digital_footprints/" TargetMode="External"/><Relationship Id="rId68" Type="http://schemas.openxmlformats.org/officeDocument/2006/relationships/hyperlink" Target="https://medium.com/@rosgluk/zero-knowledge-architecture-privacy-by-design-ba8993fa27d7" TargetMode="External"/><Relationship Id="rId23" Type="http://schemas.openxmlformats.org/officeDocument/2006/relationships/hyperlink" Target="https://www.scribd.com/document/781541066/Michael-Bazzell-Extreme-Privacy-Personal-Data-Removal-Workbook-Version-4-0-Independently-Published-2022" TargetMode="External"/><Relationship Id="rId67" Type="http://schemas.openxmlformats.org/officeDocument/2006/relationships/hyperlink" Target="https://en.wikipedia.org/wiki/Zero-knowledge_proof" TargetMode="External"/><Relationship Id="rId60" Type="http://schemas.openxmlformats.org/officeDocument/2006/relationships/hyperlink" Target="https://www.visualofac.com/ofac-search-screening-solutions/ofac-erp-integration/" TargetMode="External"/><Relationship Id="rId26" Type="http://schemas.openxmlformats.org/officeDocument/2006/relationships/hyperlink" Target="https://arxiv.org/html/2603.21867v1" TargetMode="External"/><Relationship Id="rId25" Type="http://schemas.openxmlformats.org/officeDocument/2006/relationships/hyperlink" Target="https://www.bookey.app/book/extreme-privacy" TargetMode="External"/><Relationship Id="rId69" Type="http://schemas.openxmlformats.org/officeDocument/2006/relationships/hyperlink" Target="https://blockeden.xyz/forum/t/polygon-id-vs-worldcoin-vs-zkpass-which-zk-identity-protocol-should-you-use/325" TargetMode="External"/><Relationship Id="rId28" Type="http://schemas.openxmlformats.org/officeDocument/2006/relationships/hyperlink" Target="https://ieeexplore.ieee.org/iel8/6287639/10380310/10716379.pdf" TargetMode="External"/><Relationship Id="rId27" Type="http://schemas.openxmlformats.org/officeDocument/2006/relationships/hyperlink" Target="https://arxiv.org/html/2410.16317v1" TargetMode="External"/><Relationship Id="rId29" Type="http://schemas.openxmlformats.org/officeDocument/2006/relationships/hyperlink" Target="https://openaccess.thecvf.com/content/CVPR2025/papers/Liu_ProjAttacker_A_Configurable_Physical_Adversarial_Attack_for_Face_Recognition_via_CVPR_2025_paper.pdf" TargetMode="External"/><Relationship Id="rId51" Type="http://schemas.openxmlformats.org/officeDocument/2006/relationships/hyperlink" Target="https://www.csis.org/analysis/exploring-information-laundering-ecosystem-russian-case" TargetMode="External"/><Relationship Id="rId50" Type="http://schemas.openxmlformats.org/officeDocument/2006/relationships/hyperlink" Target="https://www.justice.gov/archives/opa/pr/justice-department-disrupts-covert-russian-government-sponsored-foreign-malign-influence" TargetMode="External"/><Relationship Id="rId53" Type="http://schemas.openxmlformats.org/officeDocument/2006/relationships/hyperlink" Target="https://www.sanctions.io/solutions/screening-api" TargetMode="External"/><Relationship Id="rId52" Type="http://schemas.openxmlformats.org/officeDocument/2006/relationships/hyperlink" Target="https://dev.to/easysolutions906/ofac-sanctions-screening-for-crypto-and-defi-a-developers-guide-3fj1" TargetMode="External"/><Relationship Id="rId11" Type="http://schemas.openxmlformats.org/officeDocument/2006/relationships/hyperlink" Target="https://newsonjapan.com/article/130030.php" TargetMode="External"/><Relationship Id="rId55" Type="http://schemas.openxmlformats.org/officeDocument/2006/relationships/hyperlink" Target="https://interpol.api.bund.dev/" TargetMode="External"/><Relationship Id="rId10" Type="http://schemas.openxmlformats.org/officeDocument/2006/relationships/hyperlink" Target="https://www.reddit.com/r/Tokyo/comments/rpp19j/japanese_night_moving_companies_help_people/" TargetMode="External"/><Relationship Id="rId54" Type="http://schemas.openxmlformats.org/officeDocument/2006/relationships/hyperlink" Target="https://www.interpol.int/en/How-we-work/Notices/Red-Notices/View-Red-Notices" TargetMode="External"/><Relationship Id="rId13" Type="http://schemas.openxmlformats.org/officeDocument/2006/relationships/hyperlink" Target="https://jobsinjapan.com/living-in-japan-guide/johatsu-vanishing-without-a-trace-in-japan/" TargetMode="External"/><Relationship Id="rId57" Type="http://schemas.openxmlformats.org/officeDocument/2006/relationships/hyperlink" Target="https://github.com/khanxmetu/Interpol-Red-DL" TargetMode="External"/><Relationship Id="rId12" Type="http://schemas.openxmlformats.org/officeDocument/2006/relationships/hyperlink" Target="https://www.hopkins.edu.hk/en/news/Yonige-Ya/" TargetMode="External"/><Relationship Id="rId56" Type="http://schemas.openxmlformats.org/officeDocument/2006/relationships/hyperlink" Target="https://sandeepegalapati.medium.com/osint-automation-using-ai-agents-5550acd18fe9" TargetMode="External"/><Relationship Id="rId15" Type="http://schemas.openxmlformats.org/officeDocument/2006/relationships/hyperlink" Target="https://repository.law.miami.edu/context/umiclr/article/1259/viewcontent/UMICLR_20vol_2021_20no_202_20Mack.pdf" TargetMode="External"/><Relationship Id="rId59" Type="http://schemas.openxmlformats.org/officeDocument/2006/relationships/hyperlink" Target="https://compliapi.com/" TargetMode="External"/><Relationship Id="rId14" Type="http://schemas.openxmlformats.org/officeDocument/2006/relationships/hyperlink" Target="https://www.unodc.org/documents/middleeastandnorthafrica/organised-crime/Good_Practices_for_the_Protection_of_Witnesses_in_Criminal_Proceedings_Involving_Organized_Crime.pdf" TargetMode="External"/><Relationship Id="rId58" Type="http://schemas.openxmlformats.org/officeDocument/2006/relationships/hyperlink" Target="https://www.ofac-api.com/developers" TargetMode="External"/><Relationship Id="rId17" Type="http://schemas.openxmlformats.org/officeDocument/2006/relationships/hyperlink" Target="https://www.europol.europa.eu/cms/sites/default/files/documents/Europol%20report%20on%20Decoding%20the%20EU-s%20most%20threatening%20criminal%20networks.pdf" TargetMode="External"/><Relationship Id="rId16" Type="http://schemas.openxmlformats.org/officeDocument/2006/relationships/hyperlink" Target="https://heimdalsecurity.com/blog/major-ransomware-attack-on-u-s-marshals-service-compromises-sensitive-information/" TargetMode="External"/><Relationship Id="rId19" Type="http://schemas.openxmlformats.org/officeDocument/2006/relationships/hyperlink" Target="https://fedpaymentsimprovement.org/wp-content/uploads/sif-toolkit-genai.pdf" TargetMode="External"/><Relationship Id="rId18" Type="http://schemas.openxmlformats.org/officeDocument/2006/relationships/hyperlink" Target="https://rm.coe.int/assessment-of-the-answers-to-the-questionnaire-review-of-the-recommend/1680764f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