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departamento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codigo integer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nombre varchar(20),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PRIMARY KEY (codigo)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municipio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codigo integer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nombre varchar(25),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PRIMARY KEY (codigo)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persona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cedula integer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edad integer,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sexo varchar(1),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PRIMARY KEY (cedula)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caso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id integer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fecha_de_notificacion date,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PRIMARY KEY (id)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etnia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codigo integer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nombre varchar(15),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PRIMARY KEY (codigo)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contagio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cedula_persona integer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tipo_de_contagio varchar(15),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fecha_inicio_de_sintomas date,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fecha_de_diagnostico date,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estado varchar(15),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PRIMARY KEY (cedula_persona),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FOREIGN KEY (cedula_persona) REFERENCES persona (cedula),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UNIQUE (cedula_persona)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recuperacion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cedula_persona integer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recuperado varchar(15),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fecha_de_recuperacion date,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tipo_de_recuperacion varchar(10),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PRIMARY KEY (cedula_persona),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FOREIGN KEY (cedula_persona) REFERENCES persona (cedula),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UNIQUE (cedula_persona)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municipio_persona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cedula_persona integer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codigo_municipio integer,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PRIMARY KEY (cedula_persona),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FOREIGN KEY (cedula_persona) REFERENCES persona (cedula),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FOREIGN KEY (codigo_municipio) REFERENCES municipio (codigo),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UNIQUE (cedula_persona)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departamento_municipio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codigo_municipio integer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codigo_departamento integer,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PRIMARY KEY (codigo_municipio),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FOREIGN KEY (codigo_municipio) REFERENCES municipio (codigo),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FOREIGN KEY (codigo_departamento) REFERENCES departamento (codigo),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UNIQUE (codigo_municipio)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persona_etnia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cedula_persona integer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codigo_etnia integer,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PRIMARY KEY (cedula_persona),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FOREIGN KEY (cedula_persona) REFERENCES persona (cedula),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FOREIGN KEY (codigo_etnia) REFERENCES etnia (codigo),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UNIQUE (cedula_persona)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caso_persona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id_caso integer,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cedula_persona integer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PRIMARY KEY (cedula_persona),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FOREIGN KEY (cedula_persona) REFERENCES persona (cedula),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FOREIGN KEY (id_caso) REFERENCES caso (id),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UNIQUE (id_caso),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UNIQUE (cedula_persona)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559.0551181102364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