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r>
    </w:p>
    <w:p>
      <w:pPr>
        <w:pStyle w:val="Normal"/>
        <w:bidi w:val="0"/>
        <w:jc w:val="start"/>
        <w:rPr/>
      </w:pPr>
      <w:r>
        <w:rPr/>
      </w:r>
    </w:p>
    <w:p>
      <w:pPr>
        <w:pStyle w:val="BodyText"/>
        <w:bidi w:val="0"/>
        <w:jc w:val="start"/>
        <w:rPr>
          <w:rFonts w:ascii="Liberation Mono" w:hAnsi="Liberation Mono" w:eastAsia="Noto Sans Mono CJK SC" w:cs="Liberation Mono"/>
          <w:sz w:val="20"/>
          <w:szCs w:val="20"/>
        </w:rPr>
      </w:pPr>
      <w:r>
        <w:rPr>
          <w:rStyle w:val="Strong"/>
          <w:rFonts w:eastAsia="Noto Sans Mono CJK SC" w:cs="Liberation Mono" w:ascii="Liberation Mono" w:hAnsi="Liberation Mono"/>
          <w:sz w:val="20"/>
          <w:szCs w:val="20"/>
        </w:rPr>
        <w:t xml:space="preserve">Tabla </w:t>
      </w:r>
      <w:r>
        <w:rPr>
          <w:rStyle w:val="Strong"/>
          <w:rFonts w:eastAsia="Noto Sans Mono CJK SC" w:cs="Liberation Mono" w:ascii="Liberation Mono" w:hAnsi="Liberation Mono"/>
          <w:sz w:val="20"/>
          <w:szCs w:val="20"/>
        </w:rPr>
        <w:t>3</w:t>
      </w:r>
      <w:r>
        <w:rPr>
          <w:rStyle w:val="Strong"/>
          <w:rFonts w:eastAsia="Noto Sans Mono CJK SC" w:cs="Liberation Mono" w:ascii="Liberation Mono" w:hAnsi="Liberation Mono"/>
          <w:sz w:val="20"/>
          <w:szCs w:val="20"/>
        </w:rPr>
        <w:t xml:space="preserve">. </w:t>
      </w:r>
    </w:p>
    <w:p>
      <w:pPr>
        <w:pStyle w:val="BodyText"/>
        <w:bidi w:val="0"/>
        <w:jc w:val="start"/>
        <w:rPr>
          <w:rFonts w:ascii="Liberation Mono" w:hAnsi="Liberation Mono" w:eastAsia="Noto Sans Mono CJK SC" w:cs="Liberation Mono"/>
          <w:sz w:val="20"/>
          <w:szCs w:val="20"/>
        </w:rPr>
      </w:pPr>
      <w:r>
        <w:rPr>
          <w:rStyle w:val="Strong"/>
          <w:rFonts w:eastAsia="Noto Sans Mono CJK SC" w:cs="Liberation Mono" w:ascii="Liberation Mono" w:hAnsi="Liberation Mono"/>
          <w:b w:val="false"/>
          <w:bCs w:val="false"/>
          <w:sz w:val="20"/>
          <w:szCs w:val="20"/>
        </w:rPr>
        <w:t>Performance Metrics: YOLOv8 on the Test Set (N=25)</w:t>
      </w:r>
      <w:r>
        <w:rPr>
          <w:rStyle w:val="Strong"/>
          <w:rFonts w:eastAsia="Noto Sans Mono CJK SC" w:cs="Liberation Mono" w:ascii="Liberation Mono" w:hAnsi="Liberation Mono"/>
          <w:sz w:val="20"/>
          <w:szCs w:val="20"/>
        </w:rPr>
        <w:t>.</w:t>
      </w:r>
      <w:r>
        <w:rPr>
          <w:rFonts w:eastAsia="Noto Sans Mono CJK SC" w:cs="Liberation Mono" w:ascii="Liberation Mono" w:hAnsi="Liberation Mono"/>
          <w:sz w:val="20"/>
          <w:szCs w:val="20"/>
        </w:rPr>
        <w:t>The model achieved a mean Average Precision (mAP) of 0.202 at IoU threshold 0.5 and 0.073 at IoU thresholds from 0.5 to 0.95, indicating its effectiveness in detecting ischemic lesions with reasonable precision and recall.</w:t>
      </w:r>
    </w:p>
    <w:tbl>
      <w:tblPr>
        <w:tblW w:w="3103" w:type="dxa"/>
        <w:jc w:val="start"/>
        <w:tblInd w:w="0" w:type="dxa"/>
        <w:tblLayout w:type="fixed"/>
        <w:tblCellMar>
          <w:top w:w="28" w:type="dxa"/>
          <w:start w:w="28" w:type="dxa"/>
          <w:bottom w:w="28" w:type="dxa"/>
          <w:end w:w="28" w:type="dxa"/>
        </w:tblCellMar>
      </w:tblPr>
      <w:tblGrid>
        <w:gridCol w:w="1621"/>
        <w:gridCol w:w="1482"/>
      </w:tblGrid>
      <w:tr>
        <w:trPr>
          <w:tblHeader w:val="true"/>
        </w:trPr>
        <w:tc>
          <w:tcPr>
            <w:tcW w:w="1621" w:type="dxa"/>
            <w:tcBorders/>
            <w:vAlign w:val="center"/>
          </w:tcPr>
          <w:p>
            <w:pPr>
              <w:pStyle w:val="Ttulodelatablauser"/>
              <w:suppressLineNumbers/>
              <w:bidi w:val="0"/>
              <w:jc w:val="center"/>
              <w:rPr/>
            </w:pPr>
            <w:r>
              <w:rPr/>
              <w:t>Metric</w:t>
            </w:r>
          </w:p>
        </w:tc>
        <w:tc>
          <w:tcPr>
            <w:tcW w:w="1482" w:type="dxa"/>
            <w:tcBorders/>
            <w:vAlign w:val="center"/>
          </w:tcPr>
          <w:p>
            <w:pPr>
              <w:pStyle w:val="Ttulodelatablauser"/>
              <w:suppressLineNumbers/>
              <w:bidi w:val="0"/>
              <w:jc w:val="center"/>
              <w:rPr/>
            </w:pPr>
            <w:r>
              <w:rPr/>
              <w:t>Mean ± SD</w:t>
            </w:r>
          </w:p>
        </w:tc>
      </w:tr>
      <w:tr>
        <w:trPr/>
        <w:tc>
          <w:tcPr>
            <w:tcW w:w="1621" w:type="dxa"/>
            <w:tcBorders/>
            <w:vAlign w:val="center"/>
          </w:tcPr>
          <w:p>
            <w:pPr>
              <w:pStyle w:val="Contenidodelatablauser"/>
              <w:widowControl w:val="false"/>
              <w:suppressLineNumbers/>
              <w:bidi w:val="0"/>
              <w:jc w:val="start"/>
              <w:rPr/>
            </w:pPr>
            <w:r>
              <w:rPr/>
              <w:t>Precision</w:t>
            </w:r>
          </w:p>
        </w:tc>
        <w:tc>
          <w:tcPr>
            <w:tcW w:w="1482" w:type="dxa"/>
            <w:tcBorders/>
            <w:vAlign w:val="center"/>
          </w:tcPr>
          <w:p>
            <w:pPr>
              <w:pStyle w:val="Contenidodelatablauser"/>
              <w:widowControl w:val="false"/>
              <w:suppressLineNumbers/>
              <w:bidi w:val="0"/>
              <w:jc w:val="start"/>
              <w:rPr/>
            </w:pPr>
            <w:r>
              <w:rPr/>
              <w:t>0.437 ± 0.057</w:t>
            </w:r>
          </w:p>
        </w:tc>
      </w:tr>
      <w:tr>
        <w:trPr/>
        <w:tc>
          <w:tcPr>
            <w:tcW w:w="1621" w:type="dxa"/>
            <w:tcBorders/>
            <w:vAlign w:val="center"/>
          </w:tcPr>
          <w:p>
            <w:pPr>
              <w:pStyle w:val="Contenidodelatablauser"/>
              <w:widowControl w:val="false"/>
              <w:suppressLineNumbers/>
              <w:bidi w:val="0"/>
              <w:jc w:val="start"/>
              <w:rPr/>
            </w:pPr>
            <w:r>
              <w:rPr/>
              <w:t>Recall</w:t>
            </w:r>
          </w:p>
        </w:tc>
        <w:tc>
          <w:tcPr>
            <w:tcW w:w="1482" w:type="dxa"/>
            <w:tcBorders/>
            <w:vAlign w:val="center"/>
          </w:tcPr>
          <w:p>
            <w:pPr>
              <w:pStyle w:val="Contenidodelatablauser"/>
              <w:widowControl w:val="false"/>
              <w:suppressLineNumbers/>
              <w:bidi w:val="0"/>
              <w:jc w:val="start"/>
              <w:rPr/>
            </w:pPr>
            <w:r>
              <w:rPr/>
              <w:t>0.213 ± 0.031</w:t>
            </w:r>
          </w:p>
        </w:tc>
      </w:tr>
      <w:tr>
        <w:trPr/>
        <w:tc>
          <w:tcPr>
            <w:tcW w:w="1621" w:type="dxa"/>
            <w:tcBorders/>
            <w:vAlign w:val="center"/>
          </w:tcPr>
          <w:p>
            <w:pPr>
              <w:pStyle w:val="Contenidodelatablauser"/>
              <w:widowControl w:val="false"/>
              <w:suppressLineNumbers/>
              <w:bidi w:val="0"/>
              <w:jc w:val="start"/>
              <w:rPr/>
            </w:pPr>
            <w:r>
              <w:rPr/>
              <w:t>mAP@0.5</w:t>
            </w:r>
          </w:p>
        </w:tc>
        <w:tc>
          <w:tcPr>
            <w:tcW w:w="1482" w:type="dxa"/>
            <w:tcBorders/>
            <w:vAlign w:val="center"/>
          </w:tcPr>
          <w:p>
            <w:pPr>
              <w:pStyle w:val="Contenidodelatablauser"/>
              <w:widowControl w:val="false"/>
              <w:suppressLineNumbers/>
              <w:bidi w:val="0"/>
              <w:jc w:val="start"/>
              <w:rPr/>
            </w:pPr>
            <w:r>
              <w:rPr/>
              <w:t>0.202 ± 0.034</w:t>
            </w:r>
          </w:p>
        </w:tc>
      </w:tr>
      <w:tr>
        <w:trPr/>
        <w:tc>
          <w:tcPr>
            <w:tcW w:w="1621" w:type="dxa"/>
            <w:tcBorders/>
            <w:vAlign w:val="center"/>
          </w:tcPr>
          <w:p>
            <w:pPr>
              <w:pStyle w:val="Contenidodelatablauser"/>
              <w:widowControl w:val="false"/>
              <w:suppressLineNumbers/>
              <w:bidi w:val="0"/>
              <w:jc w:val="start"/>
              <w:rPr/>
            </w:pPr>
            <w:r>
              <w:rPr/>
              <w:t>mAP@0.5:0.95</w:t>
            </w:r>
          </w:p>
        </w:tc>
        <w:tc>
          <w:tcPr>
            <w:tcW w:w="1482" w:type="dxa"/>
            <w:tcBorders/>
            <w:vAlign w:val="center"/>
          </w:tcPr>
          <w:p>
            <w:pPr>
              <w:pStyle w:val="Contenidodelatablauser"/>
              <w:widowControl w:val="false"/>
              <w:suppressLineNumbers/>
              <w:bidi w:val="0"/>
              <w:jc w:val="start"/>
              <w:rPr/>
            </w:pPr>
            <w:r>
              <w:rPr/>
              <w:t>0.073 ± 0.014</w:t>
            </w:r>
          </w:p>
        </w:tc>
      </w:tr>
    </w:tbl>
    <w:p>
      <w:pPr>
        <w:pStyle w:val="Normal"/>
        <w:bidi w:val="0"/>
        <w:jc w:val="start"/>
        <w:rPr>
          <w:rStyle w:val="Strong"/>
        </w:rPr>
      </w:pPr>
      <w:r>
        <w:rPr/>
      </w:r>
    </w:p>
    <w:p>
      <w:pPr>
        <w:pStyle w:val="Textopreformateadouser"/>
        <w:bidi w:val="0"/>
        <w:spacing w:before="0" w:after="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s>
</file>

<file path=word/settings.xml><?xml version="1.0" encoding="utf-8"?>
<w:settings xmlns:w="http://schemas.openxmlformats.org/wordprocessingml/2006/main">
  <w:zoom w:percent="25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s-E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FreeSans"/>
      <w:color w:val="auto"/>
      <w:kern w:val="0"/>
      <w:sz w:val="24"/>
      <w:szCs w:val="24"/>
      <w:lang w:val="es-ES" w:eastAsia="zh-CN" w:bidi="hi-IN"/>
    </w:rPr>
  </w:style>
  <w:style w:type="character" w:styleId="Strong">
    <w:name w:val="Strong"/>
    <w:qFormat/>
    <w:rPr>
      <w:b/>
      <w:bCs/>
    </w:rPr>
  </w:style>
  <w:style w:type="character" w:styleId="Smbolosdenumeracinuser">
    <w:name w:val="Símbolos de numeración (user)"/>
    <w:qFormat/>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user">
    <w:name w:val="Título (user)"/>
    <w:basedOn w:val="Normal"/>
    <w:next w:val="BodyText"/>
    <w:qFormat/>
    <w:pPr>
      <w:keepNext w:val="true"/>
      <w:spacing w:before="240" w:after="120"/>
    </w:pPr>
    <w:rPr>
      <w:rFonts w:ascii="Liberation Sans" w:hAnsi="Liberation Sans" w:eastAsia="Noto Sans CJK SC" w:cs="FreeSans"/>
      <w:sz w:val="28"/>
      <w:szCs w:val="28"/>
    </w:rPr>
  </w:style>
  <w:style w:type="paragraph" w:styleId="ndiceuser">
    <w:name w:val="Índice (user)"/>
    <w:basedOn w:val="Normal"/>
    <w:qFormat/>
    <w:pPr>
      <w:suppressLineNumbers/>
    </w:pPr>
    <w:rPr>
      <w:rFonts w:cs="FreeSans"/>
    </w:rPr>
  </w:style>
  <w:style w:type="paragraph" w:styleId="Textopreformateadouser">
    <w:name w:val="Texto preformateado (user)"/>
    <w:basedOn w:val="Normal"/>
    <w:qFormat/>
    <w:pPr>
      <w:spacing w:before="0" w:after="0"/>
    </w:pPr>
    <w:rPr>
      <w:rFonts w:ascii="Liberation Mono" w:hAnsi="Liberation Mono" w:eastAsia="Noto Sans Mono CJK SC" w:cs="Liberation Mono"/>
      <w:sz w:val="20"/>
      <w:szCs w:val="20"/>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LibreOffice/25.8.2.2$Linux_X86_64 LibreOffice_project/580$Build-2</Application>
  <AppVersion>15.0000</AppVersion>
  <Pages>1</Pages>
  <Words>64</Words>
  <Characters>330</Characters>
  <CharactersWithSpaces>383</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2025-11-05T12:51:13Z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