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start"/>
        <w:rPr/>
      </w:pPr>
      <w:r>
        <w:rPr>
          <w:rStyle w:val="Strong"/>
          <w:rFonts w:eastAsia="Noto Sans Mono CJK SC" w:cs="Liberation Mono" w:ascii="Liberation Mono" w:hAnsi="Liberation Mono"/>
          <w:sz w:val="20"/>
          <w:szCs w:val="20"/>
        </w:rPr>
        <w:t>Tabl</w:t>
      </w:r>
      <w:r>
        <w:rPr>
          <w:rStyle w:val="Strong"/>
          <w:rFonts w:eastAsia="Noto Sans Mono CJK SC" w:cs="Liberation Mono" w:ascii="Liberation Mono" w:hAnsi="Liberation Mono"/>
          <w:sz w:val="20"/>
          <w:szCs w:val="20"/>
        </w:rPr>
        <w:t>e</w:t>
      </w:r>
      <w:r>
        <w:rPr>
          <w:rStyle w:val="Strong"/>
          <w:rFonts w:eastAsia="Noto Sans Mono CJK SC" w:cs="Liberation Mono" w:ascii="Liberation Mono" w:hAnsi="Liberation Mono"/>
          <w:sz w:val="20"/>
          <w:szCs w:val="20"/>
        </w:rPr>
        <w:t xml:space="preserve"> 4. </w:t>
      </w:r>
    </w:p>
    <w:p>
      <w:pPr>
        <w:pStyle w:val="BodyText"/>
        <w:bidi w:val="0"/>
        <w:jc w:val="start"/>
        <w:rPr/>
      </w:pPr>
      <w:r>
        <w:rPr>
          <w:rStyle w:val="Strong"/>
          <w:rFonts w:eastAsia="Noto Sans Mono CJK SC" w:cs="Liberation Mono" w:ascii="Liberation Mono" w:hAnsi="Liberation Mono"/>
          <w:b w:val="false"/>
          <w:bCs w:val="false"/>
          <w:sz w:val="20"/>
          <w:szCs w:val="20"/>
        </w:rPr>
        <w:t>Comparison of segmentation models on the test set (N=25).</w:t>
      </w:r>
      <w:r>
        <w:rPr>
          <w:rFonts w:eastAsia="Noto Sans Mono CJK SC" w:cs="Liberation Mono" w:ascii="Liberation Mono" w:hAnsi="Liberation Mono"/>
          <w:sz w:val="20"/>
          <w:szCs w:val="20"/>
        </w:rPr>
        <w:t>The nnU-Net achieved the highest Dice and IoU scores, indicating superior segmentation accuracy and robustness. YOLOv8 provided competitive performance with efficient inference, while U-Net showed limited generalization capabilities.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027"/>
        <w:gridCol w:w="1422"/>
        <w:gridCol w:w="1423"/>
        <w:gridCol w:w="5766"/>
      </w:tblGrid>
      <w:tr>
        <w:trPr>
          <w:tblHeader w:val="true"/>
        </w:trPr>
        <w:tc>
          <w:tcPr>
            <w:tcW w:w="1027" w:type="dxa"/>
            <w:tcBorders/>
            <w:vAlign w:val="center"/>
          </w:tcPr>
          <w:p>
            <w:pPr>
              <w:pStyle w:val="Ttulodelatablauser"/>
              <w:suppressLineNumbers/>
              <w:bidi w:val="0"/>
              <w:jc w:val="center"/>
              <w:rPr/>
            </w:pPr>
            <w:r>
              <w:rPr/>
              <w:t>Model</w:t>
            </w:r>
          </w:p>
        </w:tc>
        <w:tc>
          <w:tcPr>
            <w:tcW w:w="1422" w:type="dxa"/>
            <w:tcBorders/>
            <w:vAlign w:val="center"/>
          </w:tcPr>
          <w:p>
            <w:pPr>
              <w:pStyle w:val="Ttulodelatablauser"/>
              <w:suppressLineNumbers/>
              <w:bidi w:val="0"/>
              <w:jc w:val="center"/>
              <w:rPr/>
            </w:pPr>
            <w:r>
              <w:rPr/>
              <w:t>Dice</w:t>
            </w:r>
          </w:p>
        </w:tc>
        <w:tc>
          <w:tcPr>
            <w:tcW w:w="1423" w:type="dxa"/>
            <w:tcBorders/>
            <w:vAlign w:val="center"/>
          </w:tcPr>
          <w:p>
            <w:pPr>
              <w:pStyle w:val="Ttulodelatablauser"/>
              <w:suppressLineNumbers/>
              <w:bidi w:val="0"/>
              <w:jc w:val="center"/>
              <w:rPr/>
            </w:pPr>
            <w:r>
              <w:rPr/>
              <w:t>IoU</w:t>
            </w:r>
          </w:p>
        </w:tc>
        <w:tc>
          <w:tcPr>
            <w:tcW w:w="5766" w:type="dxa"/>
            <w:tcBorders/>
            <w:vAlign w:val="center"/>
          </w:tcPr>
          <w:p>
            <w:pPr>
              <w:pStyle w:val="Ttulodelatablauser"/>
              <w:suppressLineNumbers/>
              <w:bidi w:val="0"/>
              <w:jc w:val="center"/>
              <w:rPr/>
            </w:pPr>
            <w:r>
              <w:rPr/>
              <w:t>Notes</w:t>
            </w:r>
          </w:p>
        </w:tc>
      </w:tr>
      <w:tr>
        <w:trPr/>
        <w:tc>
          <w:tcPr>
            <w:tcW w:w="1027" w:type="dxa"/>
            <w:tcBorders/>
            <w:vAlign w:val="center"/>
          </w:tcPr>
          <w:p>
            <w:pPr>
              <w:pStyle w:val="Contenidodelatablauser"/>
              <w:widowControl w:val="false"/>
              <w:suppressLineNumbers/>
              <w:bidi w:val="0"/>
              <w:jc w:val="start"/>
              <w:rPr/>
            </w:pPr>
            <w:r>
              <w:rPr/>
              <w:t>U-Net</w:t>
            </w:r>
          </w:p>
        </w:tc>
        <w:tc>
          <w:tcPr>
            <w:tcW w:w="1422" w:type="dxa"/>
            <w:tcBorders/>
            <w:vAlign w:val="center"/>
          </w:tcPr>
          <w:p>
            <w:pPr>
              <w:pStyle w:val="Contenidodelatablauser"/>
              <w:widowControl w:val="false"/>
              <w:suppressLineNumbers/>
              <w:bidi w:val="0"/>
              <w:jc w:val="start"/>
              <w:rPr/>
            </w:pPr>
            <w:r>
              <w:rPr/>
              <w:t>0.294 ± 0.282</w:t>
            </w:r>
          </w:p>
        </w:tc>
        <w:tc>
          <w:tcPr>
            <w:tcW w:w="1423" w:type="dxa"/>
            <w:tcBorders/>
            <w:vAlign w:val="center"/>
          </w:tcPr>
          <w:p>
            <w:pPr>
              <w:pStyle w:val="Contenidodelatablauser"/>
              <w:widowControl w:val="false"/>
              <w:suppressLineNumbers/>
              <w:bidi w:val="0"/>
              <w:jc w:val="start"/>
              <w:rPr/>
            </w:pPr>
            <w:r>
              <w:rPr/>
              <w:t>0.207 ± 0.221</w:t>
            </w:r>
          </w:p>
        </w:tc>
        <w:tc>
          <w:tcPr>
            <w:tcW w:w="5766" w:type="dxa"/>
            <w:tcBorders/>
            <w:vAlign w:val="center"/>
          </w:tcPr>
          <w:p>
            <w:pPr>
              <w:pStyle w:val="Contenidodelatablauser"/>
              <w:widowControl w:val="false"/>
              <w:suppressLineNumbers/>
              <w:bidi w:val="0"/>
              <w:jc w:val="start"/>
              <w:rPr/>
            </w:pPr>
            <w:r>
              <w:rPr/>
              <w:t>Stable training; limited generalization to complex lesions</w:t>
            </w:r>
          </w:p>
        </w:tc>
      </w:tr>
      <w:tr>
        <w:trPr/>
        <w:tc>
          <w:tcPr>
            <w:tcW w:w="1027" w:type="dxa"/>
            <w:tcBorders/>
            <w:vAlign w:val="center"/>
          </w:tcPr>
          <w:p>
            <w:pPr>
              <w:pStyle w:val="Contenidodelatablauser"/>
              <w:widowControl w:val="false"/>
              <w:suppressLineNumbers/>
              <w:bidi w:val="0"/>
              <w:jc w:val="start"/>
              <w:rPr/>
            </w:pPr>
            <w:r>
              <w:rPr/>
              <w:t>nnU-Net</w:t>
            </w:r>
          </w:p>
        </w:tc>
        <w:tc>
          <w:tcPr>
            <w:tcW w:w="1422" w:type="dxa"/>
            <w:tcBorders/>
            <w:vAlign w:val="center"/>
          </w:tcPr>
          <w:p>
            <w:pPr>
              <w:pStyle w:val="Contenidodelatablauser"/>
              <w:widowControl w:val="false"/>
              <w:suppressLineNumbers/>
              <w:bidi w:val="0"/>
              <w:jc w:val="start"/>
              <w:rPr/>
            </w:pPr>
            <w:r>
              <w:rPr/>
              <w:t>0.483 ± 0.284</w:t>
            </w:r>
          </w:p>
        </w:tc>
        <w:tc>
          <w:tcPr>
            <w:tcW w:w="1423" w:type="dxa"/>
            <w:tcBorders/>
            <w:vAlign w:val="center"/>
          </w:tcPr>
          <w:p>
            <w:pPr>
              <w:pStyle w:val="Contenidodelatablauser"/>
              <w:widowControl w:val="false"/>
              <w:suppressLineNumbers/>
              <w:bidi w:val="0"/>
              <w:jc w:val="start"/>
              <w:rPr/>
            </w:pPr>
            <w:r>
              <w:rPr/>
              <w:t>0.362 ± 0.244</w:t>
            </w:r>
          </w:p>
        </w:tc>
        <w:tc>
          <w:tcPr>
            <w:tcW w:w="5766" w:type="dxa"/>
            <w:tcBorders/>
            <w:vAlign w:val="center"/>
          </w:tcPr>
          <w:p>
            <w:pPr>
              <w:pStyle w:val="Contenidodelatablauser"/>
              <w:widowControl w:val="false"/>
              <w:suppressLineNumbers/>
              <w:bidi w:val="0"/>
              <w:jc w:val="start"/>
              <w:rPr/>
            </w:pPr>
            <w:r>
              <w:rPr/>
              <w:t>Best overall performance and most consistent segmentation</w:t>
            </w:r>
          </w:p>
        </w:tc>
      </w:tr>
      <w:tr>
        <w:trPr/>
        <w:tc>
          <w:tcPr>
            <w:tcW w:w="1027" w:type="dxa"/>
            <w:tcBorders/>
            <w:vAlign w:val="center"/>
          </w:tcPr>
          <w:p>
            <w:pPr>
              <w:pStyle w:val="Contenidodelatablauser"/>
              <w:widowControl w:val="false"/>
              <w:suppressLineNumbers/>
              <w:bidi w:val="0"/>
              <w:jc w:val="start"/>
              <w:rPr/>
            </w:pPr>
            <w:r>
              <w:rPr/>
              <w:t>YOLOv8</w:t>
            </w:r>
          </w:p>
        </w:tc>
        <w:tc>
          <w:tcPr>
            <w:tcW w:w="1422" w:type="dxa"/>
            <w:tcBorders/>
            <w:vAlign w:val="center"/>
          </w:tcPr>
          <w:p>
            <w:pPr>
              <w:pStyle w:val="Contenidodelatablauser"/>
              <w:widowControl w:val="false"/>
              <w:suppressLineNumbers/>
              <w:bidi w:val="0"/>
              <w:jc w:val="start"/>
              <w:rPr/>
            </w:pPr>
            <w:r>
              <w:rPr/>
              <w:t>0.476 ± 0.287</w:t>
            </w:r>
          </w:p>
        </w:tc>
        <w:tc>
          <w:tcPr>
            <w:tcW w:w="1423" w:type="dxa"/>
            <w:tcBorders/>
            <w:vAlign w:val="center"/>
          </w:tcPr>
          <w:p>
            <w:pPr>
              <w:pStyle w:val="Contenidodelatablauser"/>
              <w:widowControl w:val="false"/>
              <w:suppressLineNumbers/>
              <w:bidi w:val="0"/>
              <w:jc w:val="start"/>
              <w:rPr/>
            </w:pPr>
            <w:r>
              <w:rPr/>
              <w:t>0.358 ± 0.254</w:t>
            </w:r>
          </w:p>
        </w:tc>
        <w:tc>
          <w:tcPr>
            <w:tcW w:w="5766" w:type="dxa"/>
            <w:tcBorders/>
            <w:vAlign w:val="center"/>
          </w:tcPr>
          <w:p>
            <w:pPr>
              <w:pStyle w:val="Contenidodelatablauser"/>
              <w:widowControl w:val="false"/>
              <w:suppressLineNumbers/>
              <w:bidi w:val="0"/>
              <w:jc w:val="start"/>
              <w:rPr/>
            </w:pPr>
            <w:r>
              <w:rPr/>
              <w:t>Fastest inference; lower boundary accuracy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Textopreformateadouser"/>
        <w:bidi w:val="0"/>
        <w:spacing w:before="0" w:after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25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Noto Serif CJK SC" w:cs="FreeSans"/>
      <w:color w:val="auto"/>
      <w:kern w:val="0"/>
      <w:sz w:val="24"/>
      <w:szCs w:val="24"/>
      <w:lang w:val="es-ES" w:eastAsia="zh-CN" w:bidi="hi-IN"/>
    </w:rPr>
  </w:style>
  <w:style w:type="character" w:styleId="Strong">
    <w:name w:val="Strong"/>
    <w:qFormat/>
    <w:rPr>
      <w:b/>
      <w:bCs/>
    </w:rPr>
  </w:style>
  <w:style w:type="character" w:styleId="Smbolosdenumeracinuser">
    <w:name w:val="Símbolos de numeración (user)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FreeSans"/>
    </w:rPr>
  </w:style>
  <w:style w:type="paragraph" w:styleId="Textopreformateadouser">
    <w:name w:val="Texto preformateado (user)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Lneahorizontaluser">
    <w:name w:val="Línea horizontal (user)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ontenidodelatablauser">
    <w:name w:val="Contenido de la tabla (user)"/>
    <w:basedOn w:val="Normal"/>
    <w:qFormat/>
    <w:pPr>
      <w:widowControl w:val="false"/>
      <w:suppressLineNumbers/>
    </w:pPr>
    <w:rPr/>
  </w:style>
  <w:style w:type="paragraph" w:styleId="Ttulodelatablauser">
    <w:name w:val="Título de la tabla (user)"/>
    <w:basedOn w:val="Contenidodelatablauser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LibreOffice/25.8.2.2$Linux_X86_64 LibreOffice_project/580$Build-2</Application>
  <AppVersion>15.0000</AppVersion>
  <Pages>1</Pages>
  <Words>82</Words>
  <Characters>504</Characters>
  <CharactersWithSpaces>569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es-ES</dc:language>
  <cp:lastModifiedBy/>
  <dcterms:modified xsi:type="dcterms:W3CDTF">2025-11-05T12:51:33Z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